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5FFEC" w14:textId="77777777" w:rsidR="00B921D9" w:rsidRDefault="000B6E9F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D-04.06.02 PODBUDOWA Z BETONU CEMENTOWEGO</w:t>
      </w:r>
    </w:p>
    <w:p w14:paraId="37B7CAFD" w14:textId="77777777" w:rsidR="00B921D9" w:rsidRDefault="000B6E9F">
      <w:pPr>
        <w:pStyle w:val="apunkt1"/>
      </w:pPr>
      <w:bookmarkStart w:id="0" w:name="__RefHeading___Toc529_1042122797"/>
      <w:bookmarkEnd w:id="0"/>
      <w:r>
        <w:t>WSTĘP</w:t>
      </w:r>
    </w:p>
    <w:p w14:paraId="20F325FA" w14:textId="77777777" w:rsidR="00B921D9" w:rsidRDefault="000B6E9F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2B04A809" w14:textId="017829C7" w:rsidR="00B921D9" w:rsidRDefault="000B6E9F" w:rsidP="00514BB5">
      <w:pPr>
        <w:pStyle w:val="atre"/>
      </w:pPr>
      <w:r>
        <w:t xml:space="preserve">Przedmiotem niniejszej Specyfikacji Technicznej są wymagania dotyczące wykonania i odbioru podbudowy z betonu cementowego, które zostaną wykonane w </w:t>
      </w:r>
      <w:r w:rsidR="00514BB5">
        <w:t>ramach zadania inwestycyjnego pn. „</w:t>
      </w:r>
      <w:r w:rsidR="000B49E1" w:rsidRPr="000B49E1">
        <w:t>Rewitalizacja centrum Kramska dla działek (243/3, 242/3, 193) obręb Kramsk</w:t>
      </w:r>
      <w:r w:rsidR="00514BB5">
        <w:t>”</w:t>
      </w:r>
      <w:r>
        <w:t xml:space="preserve">. </w:t>
      </w:r>
    </w:p>
    <w:p w14:paraId="6CAF2E4B" w14:textId="77777777" w:rsidR="00B921D9" w:rsidRDefault="000B6E9F">
      <w:pPr>
        <w:pStyle w:val="apunkt11"/>
      </w:pPr>
      <w:r>
        <w:t>Zakres stosowania ST</w:t>
      </w:r>
    </w:p>
    <w:p w14:paraId="178FE8F6" w14:textId="77777777" w:rsidR="00B921D9" w:rsidRDefault="000B6E9F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06E8E6A2" w14:textId="77777777" w:rsidR="00B921D9" w:rsidRDefault="000B6E9F">
      <w:pPr>
        <w:pStyle w:val="apunkt11"/>
      </w:pPr>
      <w:r>
        <w:t>Określenia podstawowe</w:t>
      </w:r>
    </w:p>
    <w:p w14:paraId="2FE49059" w14:textId="77777777" w:rsidR="00B921D9" w:rsidRDefault="000B6E9F">
      <w:pPr>
        <w:pStyle w:val="apunkt111"/>
      </w:pPr>
      <w:r>
        <w:rPr>
          <w:bCs/>
        </w:rPr>
        <w:t>Podbudowa</w:t>
      </w:r>
      <w:r>
        <w:rPr>
          <w:b w:val="0"/>
        </w:rPr>
        <w:t xml:space="preserve"> - dolna część nawierzchni służąca do przenoszenia obciążeń od ruchu na podłoże.</w:t>
      </w:r>
    </w:p>
    <w:p w14:paraId="6E826259" w14:textId="77777777" w:rsidR="00B921D9" w:rsidRDefault="000B6E9F">
      <w:pPr>
        <w:pStyle w:val="apunkt111"/>
      </w:pPr>
      <w:r>
        <w:rPr>
          <w:bCs/>
        </w:rPr>
        <w:t>Podbudowa z betonu cementowego</w:t>
      </w:r>
      <w:r>
        <w:rPr>
          <w:b w:val="0"/>
        </w:rPr>
        <w:t xml:space="preserve"> - warstwa zagęszczonej mieszanki betonowej, która po osiągnięciu wytrzymałości na ściskanie odpowiadającej klasie betonu C16/20 (lub wyjątkowo wyższej), stanowi fragment nośnej części nawierzchni, służący do przenoszenia obciążeń od ruchu na podłoże.</w:t>
      </w:r>
    </w:p>
    <w:p w14:paraId="1B03DD21" w14:textId="77777777" w:rsidR="00B921D9" w:rsidRDefault="000B6E9F">
      <w:pPr>
        <w:pStyle w:val="apunkt111"/>
      </w:pPr>
      <w:r>
        <w:rPr>
          <w:bCs/>
        </w:rPr>
        <w:t>Klasa betonu</w:t>
      </w:r>
      <w:r>
        <w:rPr>
          <w:b w:val="0"/>
        </w:rPr>
        <w:t xml:space="preserve"> - symbol literowo-liczbowy (np. betonu klasy C16/20 przy </w:t>
      </w:r>
      <w:proofErr w:type="spellStart"/>
      <w:r>
        <w:rPr>
          <w:b w:val="0"/>
        </w:rPr>
        <w:t>Rm</w:t>
      </w:r>
      <w:proofErr w:type="spellEnd"/>
      <w:r>
        <w:rPr>
          <w:b w:val="0"/>
        </w:rPr>
        <w:t xml:space="preserve">= 20 </w:t>
      </w:r>
      <w:proofErr w:type="spellStart"/>
      <w:r>
        <w:rPr>
          <w:b w:val="0"/>
        </w:rPr>
        <w:t>MPa</w:t>
      </w:r>
      <w:proofErr w:type="spellEnd"/>
      <w:r>
        <w:rPr>
          <w:b w:val="0"/>
        </w:rPr>
        <w:t>), określający wytrzymałość gwarantowaną betonu (</w:t>
      </w:r>
      <w:proofErr w:type="spellStart"/>
      <w:r>
        <w:rPr>
          <w:b w:val="0"/>
        </w:rPr>
        <w:t>Rm</w:t>
      </w:r>
      <w:proofErr w:type="spellEnd"/>
      <w:r>
        <w:rPr>
          <w:b w:val="0"/>
        </w:rPr>
        <w:t>).</w:t>
      </w:r>
    </w:p>
    <w:p w14:paraId="7E470AEF" w14:textId="77777777" w:rsidR="00B921D9" w:rsidRDefault="000B6E9F">
      <w:pPr>
        <w:pStyle w:val="apunkt111"/>
      </w:pPr>
      <w:r>
        <w:rPr>
          <w:bCs/>
        </w:rPr>
        <w:t>Mieszanka betonowa</w:t>
      </w:r>
      <w:r>
        <w:rPr>
          <w:b w:val="0"/>
        </w:rPr>
        <w:t xml:space="preserve"> - mieszanina wszystkich składników użytych do wykonania betonu przed zagęszczeniem.</w:t>
      </w:r>
    </w:p>
    <w:p w14:paraId="067B6BC3" w14:textId="77777777" w:rsidR="00B921D9" w:rsidRDefault="000B6E9F">
      <w:pPr>
        <w:pStyle w:val="apunkt111"/>
      </w:pPr>
      <w:r>
        <w:rPr>
          <w:bCs/>
        </w:rPr>
        <w:t>Szczelina skurczowa pełna</w:t>
      </w:r>
      <w:r>
        <w:rPr>
          <w:b w:val="0"/>
        </w:rPr>
        <w:t xml:space="preserve"> - szczelina dzieląca płyty betonowe na całej grubości i umożliwiająca tylko kurczenie się płyt.</w:t>
      </w:r>
    </w:p>
    <w:p w14:paraId="47E1D1E9" w14:textId="77777777" w:rsidR="00B921D9" w:rsidRDefault="000B6E9F">
      <w:pPr>
        <w:pStyle w:val="apunkt111"/>
      </w:pPr>
      <w:r>
        <w:rPr>
          <w:bCs/>
        </w:rPr>
        <w:t>Szczelina skurczowa pozorna</w:t>
      </w:r>
      <w:r>
        <w:rPr>
          <w:b w:val="0"/>
        </w:rPr>
        <w:t xml:space="preserve"> - szczelina dzieląca płyty betonowe w części górnej przekroju poprzecznego.</w:t>
      </w:r>
    </w:p>
    <w:p w14:paraId="3D3EA8B8" w14:textId="77777777" w:rsidR="00B921D9" w:rsidRDefault="000B6E9F">
      <w:pPr>
        <w:pStyle w:val="apunkt111"/>
      </w:pPr>
      <w:r>
        <w:rPr>
          <w:bCs/>
        </w:rPr>
        <w:t>Masa zalewowa na gorąco</w:t>
      </w:r>
      <w:r>
        <w:rPr>
          <w:b w:val="0"/>
        </w:rPr>
        <w:t xml:space="preserve"> - mieszanina składająca się z asfaltu drogowego, modyfikowanego dodatkiem kauczuku lub żywic syntetycznych, wypełniaczy i innych dodatków uszlachetniających, przeznaczona do wypełniania szczelin nawierzchni na gorąco.</w:t>
      </w:r>
    </w:p>
    <w:p w14:paraId="27DB62DA" w14:textId="77777777" w:rsidR="00B921D9" w:rsidRDefault="000B6E9F">
      <w:pPr>
        <w:pStyle w:val="apunkt111"/>
      </w:pPr>
      <w:r>
        <w:rPr>
          <w:bCs/>
        </w:rPr>
        <w:t>Masa zalewowa na zimno</w:t>
      </w:r>
      <w:r>
        <w:rPr>
          <w:b w:val="0"/>
        </w:rPr>
        <w:t xml:space="preserve"> - mieszanina żywic syntetycznych jedno- lub dwuskładnikowych, zawierająca konieczne dodatki uszlachetniające i wypełniające, przeznaczona do wypełniania szczelin na zimno.</w:t>
      </w:r>
    </w:p>
    <w:p w14:paraId="266C0E07" w14:textId="77777777" w:rsidR="00B921D9" w:rsidRDefault="000B6E9F">
      <w:pPr>
        <w:pStyle w:val="apunkt111"/>
      </w:pPr>
      <w:r>
        <w:rPr>
          <w:bCs/>
        </w:rPr>
        <w:t>Wkładki uszczelniające do szczelin</w:t>
      </w:r>
      <w:r>
        <w:rPr>
          <w:b w:val="0"/>
        </w:rPr>
        <w:t xml:space="preserve"> - elastyczne profile zamknięte lub otwarte, zwykle wykonane z tworzywa sztucznego, wciskane w szczelinę w celu jej uszczelnienia.</w:t>
      </w:r>
    </w:p>
    <w:p w14:paraId="1A62EB4D" w14:textId="77777777" w:rsidR="00B921D9" w:rsidRDefault="000B6E9F">
      <w:pPr>
        <w:pStyle w:val="apunkt111"/>
      </w:pPr>
      <w:r>
        <w:rPr>
          <w:bCs/>
        </w:rPr>
        <w:t>Wskaźnik różnoziarnistości</w:t>
      </w:r>
      <w:r>
        <w:rPr>
          <w:b w:val="0"/>
        </w:rPr>
        <w:t xml:space="preserve"> - wielkość charakteryzująca grunty niespoiste, określona wg wzoru U = d</w:t>
      </w:r>
      <w:r>
        <w:rPr>
          <w:b w:val="0"/>
          <w:vertAlign w:val="subscript"/>
        </w:rPr>
        <w:t>60</w:t>
      </w:r>
      <w:r>
        <w:rPr>
          <w:b w:val="0"/>
        </w:rPr>
        <w:t xml:space="preserve"> : d</w:t>
      </w:r>
      <w:r>
        <w:rPr>
          <w:b w:val="0"/>
          <w:vertAlign w:val="subscript"/>
        </w:rPr>
        <w:t>10</w:t>
      </w:r>
      <w:r>
        <w:rPr>
          <w:b w:val="0"/>
        </w:rPr>
        <w:t>, gdzie d</w:t>
      </w:r>
      <w:r>
        <w:rPr>
          <w:b w:val="0"/>
          <w:vertAlign w:val="subscript"/>
        </w:rPr>
        <w:t>60</w:t>
      </w:r>
      <w:r>
        <w:rPr>
          <w:b w:val="0"/>
        </w:rPr>
        <w:t xml:space="preserve"> - średnica oczek sita, przez które przechodzi 60% gruntu, d</w:t>
      </w:r>
      <w:r>
        <w:rPr>
          <w:b w:val="0"/>
          <w:vertAlign w:val="subscript"/>
        </w:rPr>
        <w:t>10</w:t>
      </w:r>
      <w:r>
        <w:rPr>
          <w:b w:val="0"/>
        </w:rPr>
        <w:t xml:space="preserve"> - średnica oczek sita, przez które przechodzi 10% gruntu.</w:t>
      </w:r>
    </w:p>
    <w:p w14:paraId="5FE9AAC2" w14:textId="77777777" w:rsidR="00B921D9" w:rsidRDefault="000B6E9F">
      <w:pPr>
        <w:pStyle w:val="atre"/>
      </w:pPr>
      <w:r>
        <w:t xml:space="preserve">Pozostałe określenia podstawowe są zgodne z obowiązującymi, odpowiednimi polskimi normami i z definicjami podanymi w ST   D-00.00.00  „Wymagania ogólne” </w:t>
      </w:r>
    </w:p>
    <w:p w14:paraId="2248C0C0" w14:textId="77777777" w:rsidR="00B921D9" w:rsidRDefault="000B6E9F">
      <w:pPr>
        <w:pStyle w:val="apunkt11"/>
      </w:pPr>
      <w:r>
        <w:t>Ogólne wymagania dotyczące robót</w:t>
      </w:r>
    </w:p>
    <w:p w14:paraId="7CBD869E" w14:textId="77777777" w:rsidR="0089290E" w:rsidRDefault="000B6E9F" w:rsidP="0089290E">
      <w:pPr>
        <w:pStyle w:val="atre"/>
      </w:pPr>
      <w:r>
        <w:t>Ogólne wymagania dotyczące robót podano w ST D-00.00.00 "Wymagania ogólne".</w:t>
      </w:r>
    </w:p>
    <w:p w14:paraId="04AFF894" w14:textId="04383E5F" w:rsidR="00B921D9" w:rsidRDefault="000B6E9F" w:rsidP="0089290E">
      <w:pPr>
        <w:pStyle w:val="apunkt1"/>
      </w:pPr>
      <w:r>
        <w:t>MATERIAŁY</w:t>
      </w:r>
    </w:p>
    <w:p w14:paraId="6DDFFD0F" w14:textId="77777777" w:rsidR="00B921D9" w:rsidRDefault="000B6E9F">
      <w:pPr>
        <w:pStyle w:val="apunkt11"/>
      </w:pPr>
      <w:r>
        <w:t>Ogólne wymagania dotyczące materiałów</w:t>
      </w:r>
    </w:p>
    <w:p w14:paraId="44FC2A9A" w14:textId="77777777" w:rsidR="00B921D9" w:rsidRDefault="00B921D9">
      <w:pPr>
        <w:pStyle w:val="atre"/>
      </w:pPr>
    </w:p>
    <w:p w14:paraId="18FB1D0E" w14:textId="77777777" w:rsidR="00B921D9" w:rsidRDefault="000B6E9F">
      <w:pPr>
        <w:pStyle w:val="atre"/>
      </w:pPr>
      <w:r>
        <w:t>Ogólne  wymagania  dotyczące  materiałów,  ich  pozyskiwania  i  składowania,  podano  w ST D-.00.00.00 „Wymagania ogólne”.</w:t>
      </w:r>
    </w:p>
    <w:p w14:paraId="74966405" w14:textId="77777777" w:rsidR="00B921D9" w:rsidRDefault="000B6E9F">
      <w:pPr>
        <w:pStyle w:val="apunkt11"/>
      </w:pPr>
      <w:r>
        <w:t>Cement</w:t>
      </w:r>
    </w:p>
    <w:p w14:paraId="48880E06" w14:textId="77777777" w:rsidR="00B921D9" w:rsidRDefault="000B6E9F">
      <w:pPr>
        <w:pStyle w:val="atre"/>
      </w:pPr>
      <w:r>
        <w:t>Do produkcji mieszanki betonowej należy stosować cementy odpowiadające wymaganiom PN-EN 197-1:2002 klasy 32,5: cement portlandzki CEM I, mieszany CEM II, hutniczy CEM III lub inne zaakceptowane przez Inspektora Nadzoru Inwestorskiego.</w:t>
      </w:r>
    </w:p>
    <w:p w14:paraId="268EDFE9" w14:textId="77777777" w:rsidR="00B921D9" w:rsidRDefault="000B6E9F">
      <w:pPr>
        <w:pStyle w:val="apunkt11"/>
      </w:pPr>
      <w:r>
        <w:t>Kruszywo</w:t>
      </w:r>
    </w:p>
    <w:p w14:paraId="5230BE6B" w14:textId="77777777" w:rsidR="00B921D9" w:rsidRDefault="000B6E9F">
      <w:pPr>
        <w:pStyle w:val="atre"/>
      </w:pPr>
      <w:r>
        <w:t>Do wytwarzania mieszanki betonowej należy stosować kruszywo mineralne naturalne, grys z otoczaków lub surowca skalnego, kruszywo z żużla wielkopiecowego kawałkowego oraz mieszanki tych kruszyw.</w:t>
      </w:r>
    </w:p>
    <w:p w14:paraId="3305E15E" w14:textId="77777777" w:rsidR="00B921D9" w:rsidRDefault="000B6E9F">
      <w:pPr>
        <w:pStyle w:val="atre"/>
      </w:pPr>
      <w:r>
        <w:t>Uziarnienie kruszywa wchodzącego w skład mieszanki betonowej powinno być tak dobrane, aby mieszanka ta wykazywała maksymalną szczelność i urabialność przy minimalnym zużyciu cementu i wody.</w:t>
      </w:r>
    </w:p>
    <w:p w14:paraId="03A3AC78" w14:textId="77777777" w:rsidR="00B921D9" w:rsidRDefault="000B6E9F">
      <w:pPr>
        <w:pStyle w:val="atre"/>
      </w:pPr>
      <w:r>
        <w:t>Właściwości kruszywa oraz ich cechy fizyczne i chemiczne powinny odpowiadać wymaganiom określonym w PN-EN 13242.</w:t>
      </w:r>
    </w:p>
    <w:p w14:paraId="391C187D" w14:textId="77777777" w:rsidR="00B921D9" w:rsidRDefault="000B6E9F">
      <w:pPr>
        <w:pStyle w:val="atre"/>
      </w:pPr>
      <w:r>
        <w:t>Do betonu należy stosować kruszywo odpowiadające wymaganiom normy PN-EN-12620, z tym że wytrzymałość kruszywa nie powinna być niższa niż klasa betonu</w:t>
      </w:r>
    </w:p>
    <w:p w14:paraId="05E4434A" w14:textId="77777777" w:rsidR="00B921D9" w:rsidRDefault="000B6E9F">
      <w:pPr>
        <w:pStyle w:val="apunkt111"/>
      </w:pPr>
      <w:r>
        <w:t>Kruszywo grube</w:t>
      </w:r>
    </w:p>
    <w:p w14:paraId="20F61320" w14:textId="77777777" w:rsidR="00B921D9" w:rsidRDefault="000B6E9F">
      <w:pPr>
        <w:pStyle w:val="atre"/>
      </w:pPr>
      <w:r>
        <w:t>Jako kruszywo  grube powinny być zastosowane  kruszywa naturalne o maksymalnym wymiarze ziarna nie  większym  niż 31,5 mm spełniające następujące wymagania podane  w poniższej tabeli:</w:t>
      </w:r>
    </w:p>
    <w:p w14:paraId="1B4870AB" w14:textId="77777777" w:rsidR="00B921D9" w:rsidRDefault="00B921D9">
      <w:pPr>
        <w:pStyle w:val="atre"/>
      </w:pPr>
    </w:p>
    <w:tbl>
      <w:tblPr>
        <w:tblW w:w="9090" w:type="dxa"/>
        <w:tblInd w:w="1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795"/>
        <w:gridCol w:w="5820"/>
        <w:gridCol w:w="1650"/>
        <w:gridCol w:w="825"/>
      </w:tblGrid>
      <w:tr w:rsidR="00B921D9" w14:paraId="1ED1B6B3" w14:textId="77777777">
        <w:trPr>
          <w:cantSplit/>
        </w:trPr>
        <w:tc>
          <w:tcPr>
            <w:tcW w:w="9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712E2" w14:textId="77777777" w:rsidR="00B921D9" w:rsidRDefault="00B921D9">
            <w:pPr>
              <w:keepNext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  <w:p w14:paraId="213C3BE0" w14:textId="77777777" w:rsidR="00B921D9" w:rsidRDefault="00B921D9">
            <w:pPr>
              <w:keepNext/>
              <w:jc w:val="center"/>
              <w:rPr>
                <w:rFonts w:ascii="Arial" w:hAnsi="Arial"/>
                <w:b/>
                <w:sz w:val="20"/>
                <w:szCs w:val="20"/>
              </w:rPr>
            </w:pPr>
          </w:p>
        </w:tc>
      </w:tr>
      <w:tr w:rsidR="00B921D9" w14:paraId="2A5C6CE2" w14:textId="77777777">
        <w:trPr>
          <w:cantSplit/>
        </w:trPr>
        <w:tc>
          <w:tcPr>
            <w:tcW w:w="9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ABEF3" w14:textId="77777777" w:rsidR="00B921D9" w:rsidRDefault="000B6E9F">
            <w:pPr>
              <w:keepNext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Kruszywo grube naturalne o uziarnieniu nie większym niż 31,5 mm</w:t>
            </w:r>
          </w:p>
        </w:tc>
      </w:tr>
      <w:tr w:rsidR="00B921D9" w14:paraId="01118EB0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F6A4" w14:textId="77777777" w:rsidR="00B921D9" w:rsidRDefault="000B6E9F">
            <w:pPr>
              <w:keepNext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7B190" w14:textId="77777777" w:rsidR="00B921D9" w:rsidRDefault="000B6E9F">
            <w:pPr>
              <w:keepNext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Właściwości  kruszywa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3E629" w14:textId="77777777" w:rsidR="00B921D9" w:rsidRDefault="000B6E9F">
            <w:pPr>
              <w:keepNext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Wymagania</w:t>
            </w:r>
          </w:p>
        </w:tc>
      </w:tr>
      <w:tr w:rsidR="00B921D9" w14:paraId="0D0FEE31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B969C" w14:textId="77777777" w:rsidR="00B921D9" w:rsidRDefault="000B6E9F">
            <w:pPr>
              <w:keepNext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D99A5" w14:textId="77777777" w:rsidR="00B921D9" w:rsidRDefault="000B6E9F">
            <w:pPr>
              <w:keepNext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Uziarnienie według PN-EN 933-1  w zależności  od  wymiaru  kruszywa, kategoria nie niższa niż:</w:t>
            </w:r>
          </w:p>
          <w:p w14:paraId="362C0C0C" w14:textId="77777777" w:rsidR="00B921D9" w:rsidRDefault="000B6E9F">
            <w:pPr>
              <w:keepNext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D/d ≤ 2 lub D ≤ 11,2 mm</w:t>
            </w:r>
          </w:p>
          <w:p w14:paraId="52D6F3ED" w14:textId="77777777" w:rsidR="00B921D9" w:rsidRDefault="000B6E9F">
            <w:pPr>
              <w:keepNext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D/d &gt; 2 i D &gt; 11,2 mm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58A457" w14:textId="77777777" w:rsidR="00B921D9" w:rsidRDefault="000B6E9F">
            <w:pPr>
              <w:keepNext/>
              <w:jc w:val="center"/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C</w:t>
            </w:r>
            <w:r>
              <w:rPr>
                <w:rFonts w:ascii="Arial" w:hAnsi="Arial"/>
                <w:sz w:val="20"/>
                <w:szCs w:val="20"/>
              </w:rPr>
              <w:t xml:space="preserve"> 85/20</w:t>
            </w:r>
          </w:p>
          <w:p w14:paraId="32A55DE5" w14:textId="77777777" w:rsidR="00B921D9" w:rsidRDefault="000B6E9F">
            <w:pPr>
              <w:keepNext/>
              <w:jc w:val="center"/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C</w:t>
            </w:r>
            <w:r>
              <w:rPr>
                <w:rFonts w:ascii="Arial" w:hAnsi="Arial"/>
                <w:sz w:val="20"/>
                <w:szCs w:val="20"/>
              </w:rPr>
              <w:t xml:space="preserve"> 90/15</w:t>
            </w:r>
          </w:p>
        </w:tc>
      </w:tr>
      <w:tr w:rsidR="00B921D9" w14:paraId="4C655A35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172AB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8CBAE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Tolerancja  uziarnienia  w  zależności  od wymiaru kruszywa, kategorie: </w:t>
            </w:r>
          </w:p>
          <w:p w14:paraId="0F7ACFF2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D/d &lt; 4</w:t>
            </w:r>
          </w:p>
          <w:p w14:paraId="75882298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D/d ≥ 4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A41D74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 xml:space="preserve"> 15</w:t>
            </w:r>
          </w:p>
          <w:p w14:paraId="6D0AA4E8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T</w:t>
            </w:r>
            <w:r>
              <w:rPr>
                <w:rFonts w:ascii="Arial" w:hAnsi="Arial"/>
                <w:sz w:val="20"/>
                <w:szCs w:val="20"/>
              </w:rPr>
              <w:t xml:space="preserve"> 17,5</w:t>
            </w:r>
          </w:p>
        </w:tc>
      </w:tr>
      <w:tr w:rsidR="00B921D9" w14:paraId="436F47DF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92D2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76DE4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Zawartość pyłów według PN-EN 933-1; kategoria nie wyższa niż: 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0F7103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f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1,5</w:t>
            </w:r>
          </w:p>
        </w:tc>
      </w:tr>
      <w:tr w:rsidR="00B921D9" w14:paraId="1B01C10E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51DF1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A578D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Kształt  kruszywa  grubego  według  PN-EN 933-3 lub według PN-EN 933-4 ; kategoria nie wyższa niż: 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FDB47C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FI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20</w:t>
            </w:r>
            <w:r>
              <w:rPr>
                <w:rFonts w:ascii="Arial" w:hAnsi="Arial"/>
                <w:sz w:val="20"/>
                <w:szCs w:val="20"/>
              </w:rPr>
              <w:t xml:space="preserve">   lub SI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20</w:t>
            </w:r>
          </w:p>
        </w:tc>
      </w:tr>
      <w:tr w:rsidR="00B921D9" w14:paraId="2517C355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7FEEB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4621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Procentowa  zawartość  ziaren  o powierzchni 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przekruszonej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 i łamanej  w kruszywie grubym według PN-EN 933-5, kategoria nie niższa: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E21C7" w14:textId="77777777" w:rsidR="00B921D9" w:rsidRDefault="000B6E9F">
            <w:pPr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C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tc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= 100</w:t>
            </w:r>
          </w:p>
          <w:p w14:paraId="55029533" w14:textId="77777777" w:rsidR="00B921D9" w:rsidRDefault="000B6E9F">
            <w:pPr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C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c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= 100</w:t>
            </w:r>
          </w:p>
          <w:p w14:paraId="5F22B16C" w14:textId="77777777" w:rsidR="00B921D9" w:rsidRDefault="000B6E9F">
            <w:pPr>
              <w:jc w:val="center"/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C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tr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= 0</w:t>
            </w:r>
          </w:p>
          <w:p w14:paraId="50FD6BA7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C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r0</w:t>
            </w:r>
            <w:r>
              <w:rPr>
                <w:rFonts w:ascii="Arial" w:hAnsi="Arial"/>
                <w:sz w:val="20"/>
                <w:szCs w:val="20"/>
              </w:rPr>
              <w:t xml:space="preserve"> = 0</w:t>
            </w:r>
          </w:p>
        </w:tc>
      </w:tr>
      <w:tr w:rsidR="00B921D9" w14:paraId="3DB70C96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D494E" w14:textId="77777777" w:rsidR="00B921D9" w:rsidRDefault="000B6E9F">
            <w:pPr>
              <w:shd w:val="clear" w:color="auto" w:fill="FFFFFF"/>
              <w:jc w:val="center"/>
              <w:outlineLvl w:val="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6a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FC5E" w14:textId="77777777" w:rsidR="00B921D9" w:rsidRDefault="000B6E9F">
            <w:pPr>
              <w:shd w:val="clear" w:color="auto" w:fill="FFFFFF"/>
              <w:outlineLvl w:val="1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Mrozoodporność według PN-EN 1367-6  w 1% NaCl, badana na kruszywie o  wymiarze  8/16;  wartość  nie  wyższa niż w %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9B837B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0FDDA7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LA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25</w:t>
            </w:r>
          </w:p>
        </w:tc>
      </w:tr>
      <w:tr w:rsidR="00B921D9" w14:paraId="1093F88C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A3D2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6b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B7426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oraz  odporność kruszywa na rozdrabnianie według PN-EN  1097-2 badana  na kruszywie o  wymiarze 10/14, rozdz.5; kategoria nie wyższa niż: 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43ACDE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BC366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LA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40</w:t>
            </w:r>
          </w:p>
        </w:tc>
      </w:tr>
      <w:tr w:rsidR="00B921D9" w14:paraId="627F5103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DA32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960A5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„ Zgorzel słoneczna” bazaltu według PN-EN 1367-3, badana na kruszywie o wymiarze 10/14; kategoria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D616C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SB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LA</w:t>
            </w:r>
          </w:p>
        </w:tc>
      </w:tr>
      <w:tr w:rsidR="00B921D9" w14:paraId="1B08FD16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3C5B1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3FCD4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Gęstość ziaren według  PN-EN 1097-6, rozdz. 7,8 lub 9: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72F93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deklarowana przez producenta</w:t>
            </w:r>
          </w:p>
        </w:tc>
      </w:tr>
      <w:tr w:rsidR="00B921D9" w14:paraId="51CBED01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1F0EF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4E6A6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Gęstość nasypowa według  PN-EN 1097-3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7168BE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deklarowana przez producenta</w:t>
            </w:r>
          </w:p>
        </w:tc>
      </w:tr>
      <w:tr w:rsidR="00B921D9" w14:paraId="30624A4D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0311B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8A84E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Nasiąkliwość według  PN-EN 1097-6, rozdz. 7,8 lub 9: 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DDADD4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WA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24</w:t>
            </w:r>
            <w:r>
              <w:rPr>
                <w:rFonts w:ascii="Arial" w:hAnsi="Arial"/>
                <w:sz w:val="20"/>
                <w:szCs w:val="20"/>
              </w:rPr>
              <w:t xml:space="preserve">  deklarowana przez producenta</w:t>
            </w:r>
          </w:p>
        </w:tc>
      </w:tr>
      <w:tr w:rsidR="00B921D9" w14:paraId="3042C194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92CDD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11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AF04D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Skład  chemiczny  –  uproszczony  opis petrograficzny  według  PN-EN  932-3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71A7E4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deklarowany przez producenta</w:t>
            </w:r>
          </w:p>
        </w:tc>
      </w:tr>
      <w:tr w:rsidR="00B921D9" w14:paraId="7A0E4FB0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060A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12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954BF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Reaktywność  alkaliczno - krzemionkowa;  stopień  potencjalnej reaktywności    według  PN-B-06714-46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74F62F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stopień potencjalnej </w:t>
            </w:r>
          </w:p>
          <w:p w14:paraId="651537E6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reaktywności 0</w:t>
            </w:r>
            <w:r>
              <w:rPr>
                <w:rFonts w:ascii="Arial" w:hAnsi="Arial"/>
                <w:sz w:val="20"/>
                <w:szCs w:val="20"/>
                <w:vertAlign w:val="superscript"/>
              </w:rPr>
              <w:t>1)</w:t>
            </w:r>
          </w:p>
        </w:tc>
      </w:tr>
      <w:tr w:rsidR="00B921D9" w14:paraId="3E0F282C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0AAD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13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A4C84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Zawartość  siarczanów  rozpuszczalnych w kwasie  według  PN-EN  1744-1, rozdz.12, nie wyższa niż kategoria: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62A3D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AS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0,2</w:t>
            </w:r>
          </w:p>
        </w:tc>
      </w:tr>
      <w:tr w:rsidR="00B921D9" w14:paraId="31BC075C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4FACC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14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43A5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Zawartość siarki całkowitej według PN-EN  1744-1,  rozdz.11;  wartość  nie wyższa niż w %: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DDB1F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B921D9" w14:paraId="503C90DD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318C2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15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99720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Zawartość chlorków rozpuszczalnych w  wodzie według PN-EN  1744-1, rodz.7; wartość nie wyższa niż w  %: 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79FDB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0,02</w:t>
            </w:r>
          </w:p>
        </w:tc>
      </w:tr>
      <w:tr w:rsidR="00B921D9" w14:paraId="6AD877B5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E553D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16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CEA9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Zanieczyszczenia lekkie według  PN-EN 1774-1, p. 14.2;  wartość  nie wyższa niż w %: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CD30DD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0,1</w:t>
            </w:r>
          </w:p>
        </w:tc>
      </w:tr>
      <w:tr w:rsidR="00B921D9" w14:paraId="4022015B" w14:textId="77777777">
        <w:trPr>
          <w:cantSplit/>
        </w:trPr>
        <w:tc>
          <w:tcPr>
            <w:tcW w:w="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4A67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17</w:t>
            </w:r>
          </w:p>
        </w:tc>
        <w:tc>
          <w:tcPr>
            <w:tcW w:w="5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F768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Zawartość substancji organicznych według PN-EN 1744-1 [20], p.15.1:</w:t>
            </w:r>
          </w:p>
        </w:tc>
        <w:tc>
          <w:tcPr>
            <w:tcW w:w="24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272E23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barwa nie ciemniejsza niż wzorcowa</w:t>
            </w:r>
          </w:p>
        </w:tc>
      </w:tr>
      <w:tr w:rsidR="00B921D9" w14:paraId="164FE21C" w14:textId="77777777">
        <w:trPr>
          <w:cantSplit/>
        </w:trPr>
        <w:tc>
          <w:tcPr>
            <w:tcW w:w="9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AD7A6" w14:textId="77777777" w:rsidR="00B921D9" w:rsidRDefault="000B6E9F">
            <w:r>
              <w:rPr>
                <w:rFonts w:ascii="Arial" w:hAnsi="Arial"/>
                <w:sz w:val="20"/>
                <w:szCs w:val="20"/>
                <w:vertAlign w:val="superscript"/>
              </w:rPr>
              <w:t>1)</w:t>
            </w:r>
            <w:r>
              <w:rPr>
                <w:rFonts w:ascii="Arial" w:hAnsi="Arial"/>
                <w:sz w:val="20"/>
                <w:szCs w:val="20"/>
              </w:rPr>
              <w:t xml:space="preserve"> w  przypadku  stwierdzenia,  że  badane  kruszywo  odpowiada  1  stopniowi  potencjalnej reaktywności  alkalicznej  należy  wykonać  badanie  dodatkowe  zgodnie  z PN-B-06714-34; dopuszczenie do zastosowania przy spełnieniu wymagania: reaktywność alkaliczna z cementem nie wywołująca zwiększenia wymiarów liniowych większych niż 0,1 %</w:t>
            </w:r>
          </w:p>
        </w:tc>
      </w:tr>
    </w:tbl>
    <w:p w14:paraId="11A207BE" w14:textId="77777777" w:rsidR="00B921D9" w:rsidRDefault="00B921D9"/>
    <w:p w14:paraId="100FC703" w14:textId="77777777" w:rsidR="00B921D9" w:rsidRDefault="000B6E9F">
      <w:pPr>
        <w:pStyle w:val="apunkt111"/>
      </w:pPr>
      <w:r>
        <w:t>Kruszywo drobne</w:t>
      </w:r>
    </w:p>
    <w:p w14:paraId="48528067" w14:textId="77777777" w:rsidR="00B921D9" w:rsidRDefault="000B6E9F">
      <w:pPr>
        <w:pStyle w:val="atre"/>
      </w:pPr>
      <w:r>
        <w:t>Jako kruszywo drobne  powinno być stosowane  kruszywo o uziarnieniu nie większym niż 4 mm, spełniającym  następujące wymagania podane w poniższej tabeli:</w:t>
      </w:r>
    </w:p>
    <w:p w14:paraId="2014BFBE" w14:textId="77777777" w:rsidR="00B921D9" w:rsidRDefault="00B921D9">
      <w:pPr>
        <w:pStyle w:val="atre"/>
      </w:pPr>
    </w:p>
    <w:tbl>
      <w:tblPr>
        <w:tblW w:w="9015" w:type="dxa"/>
        <w:tblInd w:w="34" w:type="dxa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750"/>
        <w:gridCol w:w="5355"/>
        <w:gridCol w:w="2910"/>
      </w:tblGrid>
      <w:tr w:rsidR="00B921D9" w14:paraId="1C0BC395" w14:textId="77777777">
        <w:trPr>
          <w:cantSplit/>
        </w:trPr>
        <w:tc>
          <w:tcPr>
            <w:tcW w:w="9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AB12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Kruszywo drobne o uziarnieniu nie większym niż 4 mm</w:t>
            </w:r>
          </w:p>
        </w:tc>
      </w:tr>
      <w:tr w:rsidR="00B921D9" w14:paraId="495EFC13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F024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L.p.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53B7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Właściwości  kruszywa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78DFC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Wymagania</w:t>
            </w:r>
          </w:p>
        </w:tc>
      </w:tr>
      <w:tr w:rsidR="00B921D9" w14:paraId="0182F589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44BC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C65A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Uziarnienie według PN-EN 933-1  wymagana kategoria: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C2D4F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G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F</w:t>
            </w:r>
            <w:r>
              <w:rPr>
                <w:rFonts w:ascii="Arial" w:hAnsi="Arial"/>
                <w:sz w:val="20"/>
                <w:szCs w:val="20"/>
              </w:rPr>
              <w:t xml:space="preserve"> 85</w:t>
            </w:r>
          </w:p>
        </w:tc>
      </w:tr>
      <w:tr w:rsidR="00B921D9" w14:paraId="135E3AFE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24756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77B6C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Zawartość pyłów według PN-EN 933-1; kategoria nie wyższa niż: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56A0A9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f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3</w:t>
            </w:r>
          </w:p>
        </w:tc>
      </w:tr>
      <w:tr w:rsidR="00B921D9" w14:paraId="0CB9FD82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9D7F6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EC49C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Tolerancje deklarowanego  typowego </w:t>
            </w:r>
          </w:p>
          <w:p w14:paraId="78B95465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uziarnienia kruszywa drobnego  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7A654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zgodnie z tablicą C.1 w normie</w:t>
            </w:r>
          </w:p>
          <w:p w14:paraId="69E4E1DE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PN-EN 12620</w:t>
            </w:r>
          </w:p>
        </w:tc>
      </w:tr>
      <w:tr w:rsidR="00B921D9" w14:paraId="72BDBC45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F215E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F561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Gęstość ziaren według  PN-EN 1097-6, rozdz. 7,8 lub 9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A56918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deklarowana przez producenta</w:t>
            </w:r>
          </w:p>
        </w:tc>
      </w:tr>
      <w:tr w:rsidR="00B921D9" w14:paraId="6656AE1F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C9B40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CCD93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Gęstość nasypowa według PN-EN 1097-3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376CD3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deklarowana przez producenta</w:t>
            </w:r>
          </w:p>
        </w:tc>
      </w:tr>
      <w:tr w:rsidR="00B921D9" w14:paraId="69DD5E9A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2C271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2119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Reaktywność  alkaliczno  - krzemionkowa;  stopień  potencjalnej reaktywności    według  PN-B-06714-46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6490D4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stopień potencjalnej </w:t>
            </w:r>
          </w:p>
          <w:p w14:paraId="7B14D932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reaktywności 0</w:t>
            </w:r>
            <w:r>
              <w:rPr>
                <w:rFonts w:ascii="Arial" w:hAnsi="Arial"/>
                <w:sz w:val="20"/>
                <w:szCs w:val="20"/>
                <w:vertAlign w:val="superscript"/>
              </w:rPr>
              <w:t>1)</w:t>
            </w:r>
          </w:p>
        </w:tc>
      </w:tr>
      <w:tr w:rsidR="00B921D9" w14:paraId="6ADAB1FE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3B7E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E5327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Zawartość siarczanów rozpuszczalnych w  kwasie  według  PN-EN  1744-1,rozdz.12;  nie  wyższa  niż kategoria: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8B4BE" w14:textId="77777777" w:rsidR="00B921D9" w:rsidRDefault="000B6E9F">
            <w:pPr>
              <w:jc w:val="center"/>
            </w:pPr>
            <w:r>
              <w:rPr>
                <w:rFonts w:ascii="Arial" w:hAnsi="Arial"/>
                <w:sz w:val="20"/>
                <w:szCs w:val="20"/>
              </w:rPr>
              <w:t>AS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0,2</w:t>
            </w:r>
          </w:p>
        </w:tc>
      </w:tr>
      <w:tr w:rsidR="00B921D9" w14:paraId="04E89819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B41D3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8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932DC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Zawartość  siarki  całkowitej  według PN-EN 1744-1, rozdz.11; wartość nie wyższa niż w %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3121BF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</w:tr>
      <w:tr w:rsidR="00B921D9" w14:paraId="3536BD0A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FA65C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9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E08DD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Zanieczyszczenia lekkie według  PN-EN 1774-1, p. 14.2; wartość nie wyższa niż w %: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6E045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0,5</w:t>
            </w:r>
          </w:p>
        </w:tc>
      </w:tr>
      <w:tr w:rsidR="00B921D9" w14:paraId="173D7872" w14:textId="77777777">
        <w:trPr>
          <w:cantSplit/>
        </w:trPr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EF9C9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</w:t>
            </w:r>
          </w:p>
        </w:tc>
        <w:tc>
          <w:tcPr>
            <w:tcW w:w="5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13CA1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Zawartość substancji organicznych według PN-EN 1744-1, p.15.1:</w:t>
            </w:r>
          </w:p>
        </w:tc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FD78F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barwa nie ciemniejsza niż wzorcowa</w:t>
            </w:r>
          </w:p>
        </w:tc>
      </w:tr>
      <w:tr w:rsidR="00B921D9" w14:paraId="0B29C9E1" w14:textId="77777777">
        <w:trPr>
          <w:cantSplit/>
        </w:trPr>
        <w:tc>
          <w:tcPr>
            <w:tcW w:w="90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6BAE" w14:textId="77777777" w:rsidR="00B921D9" w:rsidRDefault="000B6E9F">
            <w:r>
              <w:rPr>
                <w:rFonts w:ascii="Arial" w:hAnsi="Arial"/>
                <w:sz w:val="20"/>
                <w:szCs w:val="20"/>
                <w:vertAlign w:val="superscript"/>
              </w:rPr>
              <w:t>1)</w:t>
            </w:r>
            <w:r>
              <w:rPr>
                <w:rFonts w:ascii="Arial" w:hAnsi="Arial"/>
                <w:sz w:val="20"/>
                <w:szCs w:val="20"/>
              </w:rPr>
              <w:t xml:space="preserve"> w  przypadku  stwierdzenia,  że  badane  kruszywo  odpowiada  1  stopniowi  potencjalnej reaktywności  alkalicznej  należy  wykonać  badanie  dodatkowe  zgodnie  z PN-B-06714-34; dopuszczenie do zastosowania przy spełnieniu wymagania: reaktywność alkaliczna z cementem nie wywołująca zwiększenia wymiarów liniowych większych niż 0,1 %</w:t>
            </w:r>
          </w:p>
        </w:tc>
      </w:tr>
    </w:tbl>
    <w:p w14:paraId="5D328425" w14:textId="77777777" w:rsidR="00B921D9" w:rsidRDefault="00B921D9"/>
    <w:p w14:paraId="76045D40" w14:textId="77777777" w:rsidR="00B921D9" w:rsidRDefault="000B6E9F">
      <w:pPr>
        <w:pStyle w:val="apunkt11"/>
      </w:pPr>
      <w:r>
        <w:t xml:space="preserve"> Woda</w:t>
      </w:r>
    </w:p>
    <w:p w14:paraId="207A49FA" w14:textId="77777777" w:rsidR="00B921D9" w:rsidRDefault="000B6E9F">
      <w:pPr>
        <w:pStyle w:val="atre"/>
      </w:pPr>
      <w:r>
        <w:t>Do wytwarzania mieszanki betonowej i pielęgnacji podbudowy należy używać wody określonej w PN-EN 1008.</w:t>
      </w:r>
    </w:p>
    <w:p w14:paraId="0E74BAB0" w14:textId="77777777" w:rsidR="00B921D9" w:rsidRDefault="000B6E9F">
      <w:pPr>
        <w:pStyle w:val="atre"/>
      </w:pPr>
      <w:r>
        <w:t>Bez badań laboratoryjnych można stosować wodociągową wodę pitną.</w:t>
      </w:r>
    </w:p>
    <w:p w14:paraId="2F2AB4A0" w14:textId="77777777" w:rsidR="00B921D9" w:rsidRDefault="000B6E9F">
      <w:pPr>
        <w:pStyle w:val="apunkt11"/>
      </w:pPr>
      <w:r>
        <w:t>Domieszki do betonu</w:t>
      </w:r>
    </w:p>
    <w:p w14:paraId="14602AEE" w14:textId="77777777" w:rsidR="00B921D9" w:rsidRDefault="000B6E9F">
      <w:pPr>
        <w:pStyle w:val="atre"/>
      </w:pPr>
      <w:r>
        <w:t>W celu zmiany warunków wiązania i twardnienia, poprawy właściwości betonu i mieszanki betonowej oraz ograniczenia zawartości cementu mogą być stosowane domieszki według PN-EN 934-2:1999.</w:t>
      </w:r>
    </w:p>
    <w:p w14:paraId="485BA6E8" w14:textId="77777777" w:rsidR="00B921D9" w:rsidRDefault="000B6E9F">
      <w:pPr>
        <w:pStyle w:val="atre"/>
      </w:pPr>
      <w:r>
        <w:t>Przy wyborze domieszki należy uwzględnić jej zgodność z cementem. Zaleca się wykonać badanie zgodności w laboratorium.</w:t>
      </w:r>
    </w:p>
    <w:p w14:paraId="7F1EDFD4" w14:textId="77777777" w:rsidR="00B921D9" w:rsidRDefault="000B6E9F">
      <w:pPr>
        <w:pStyle w:val="apunkt11"/>
      </w:pPr>
      <w:r>
        <w:t>Zalewa drogowa lub wkładki uszczelniające w szczelinach</w:t>
      </w:r>
    </w:p>
    <w:p w14:paraId="5E7DC824" w14:textId="77777777" w:rsidR="00B921D9" w:rsidRDefault="000B6E9F">
      <w:pPr>
        <w:pStyle w:val="atre"/>
      </w:pPr>
      <w:r>
        <w:t xml:space="preserve">Do wypełnienia szczelin w podbudowie betonowej należy stosować specjalne masy zalewowe, wbudowywane na gorąco lub na zimno, względnie wkładki uszczelniające, posiadające aprobatę techniczną </w:t>
      </w:r>
      <w:proofErr w:type="spellStart"/>
      <w:r>
        <w:t>IBDiM</w:t>
      </w:r>
      <w:proofErr w:type="spellEnd"/>
      <w:r>
        <w:t>.</w:t>
      </w:r>
    </w:p>
    <w:p w14:paraId="1A73FE4C" w14:textId="77777777" w:rsidR="00B921D9" w:rsidRDefault="000B6E9F">
      <w:pPr>
        <w:pStyle w:val="apunkt11"/>
      </w:pPr>
      <w:r>
        <w:t>Stal zbrojeniowa</w:t>
      </w:r>
    </w:p>
    <w:p w14:paraId="6EEF6EB1" w14:textId="77777777" w:rsidR="00B921D9" w:rsidRDefault="000B6E9F">
      <w:pPr>
        <w:pStyle w:val="atre"/>
      </w:pPr>
      <w:r>
        <w:t>W przypadku przewidywania zbrojenia płyt betonowych, stal zbrojeniowa powinna odpowiadać wymaganiom określonym w PN-S-96014:1997.</w:t>
      </w:r>
    </w:p>
    <w:p w14:paraId="72766845" w14:textId="77777777" w:rsidR="00B921D9" w:rsidRDefault="000B6E9F">
      <w:pPr>
        <w:pStyle w:val="apunkt11"/>
      </w:pPr>
      <w:r>
        <w:t>Materiały do pielęgnacji podbudowy</w:t>
      </w:r>
    </w:p>
    <w:p w14:paraId="438B1587" w14:textId="77777777" w:rsidR="00B921D9" w:rsidRDefault="000B6E9F">
      <w:pPr>
        <w:pStyle w:val="atre"/>
      </w:pPr>
      <w:r>
        <w:t>Do pielęgnacji świeżo ułożonej podbudowy z betonu cementowego należy stosować:</w:t>
      </w:r>
    </w:p>
    <w:p w14:paraId="49C5BCA0" w14:textId="77777777" w:rsidR="00B921D9" w:rsidRDefault="000B6E9F">
      <w:pPr>
        <w:pStyle w:val="atrepunktowanie"/>
      </w:pPr>
      <w:r>
        <w:t>preparaty powłokowe,</w:t>
      </w:r>
    </w:p>
    <w:p w14:paraId="41E22522" w14:textId="77777777" w:rsidR="00B921D9" w:rsidRDefault="000B6E9F">
      <w:pPr>
        <w:pStyle w:val="atrepunktowanie"/>
      </w:pPr>
      <w:r>
        <w:t>folie z tworzyw sztucznych.</w:t>
      </w:r>
    </w:p>
    <w:p w14:paraId="1BB76F7B" w14:textId="77777777" w:rsidR="00B921D9" w:rsidRDefault="000B6E9F">
      <w:pPr>
        <w:pStyle w:val="atre"/>
      </w:pPr>
      <w:r>
        <w:t xml:space="preserve">Dopuszcza się pielęgnację warstwą piasku naturalnego, bez zanieczyszczeń organicznych lub warstwą włókniny o grubości, przy obciążeniu 2 </w:t>
      </w:r>
      <w:proofErr w:type="spellStart"/>
      <w:r>
        <w:t>kPa</w:t>
      </w:r>
      <w:proofErr w:type="spellEnd"/>
      <w:r>
        <w:t>, co najmniej 5 mm, utrzymywanej w stanie wilgotnym przez zraszanie wodą.</w:t>
      </w:r>
    </w:p>
    <w:p w14:paraId="673C8B43" w14:textId="77777777" w:rsidR="00B921D9" w:rsidRDefault="000B6E9F">
      <w:pPr>
        <w:pStyle w:val="apunkt11"/>
      </w:pPr>
      <w:r>
        <w:t>Beton</w:t>
      </w:r>
    </w:p>
    <w:p w14:paraId="18B7716B" w14:textId="77777777" w:rsidR="00B921D9" w:rsidRDefault="000B6E9F">
      <w:pPr>
        <w:pStyle w:val="atre"/>
      </w:pPr>
      <w:r>
        <w:t>Beton powinien spełniać wymagania normy PN-EN 206-1.</w:t>
      </w:r>
    </w:p>
    <w:p w14:paraId="5086D4CF" w14:textId="77777777" w:rsidR="00B921D9" w:rsidRDefault="000B6E9F">
      <w:pPr>
        <w:pStyle w:val="atre"/>
      </w:pPr>
      <w:r>
        <w:t>Zawartość cementu w 1m3 zagęszczonej mieszanki betonowej nie powinna przekraczać 250 kg.</w:t>
      </w:r>
    </w:p>
    <w:p w14:paraId="5F9EF937" w14:textId="77777777" w:rsidR="00B921D9" w:rsidRDefault="000B6E9F">
      <w:pPr>
        <w:pStyle w:val="atre"/>
      </w:pPr>
      <w:r>
        <w:t xml:space="preserve">Konsystencja mieszanki betonowej powinna być co najmniej </w:t>
      </w:r>
      <w:proofErr w:type="spellStart"/>
      <w:r>
        <w:t>gęstoplastyczna</w:t>
      </w:r>
      <w:proofErr w:type="spellEnd"/>
      <w:r>
        <w:t>.</w:t>
      </w:r>
    </w:p>
    <w:p w14:paraId="70CBA206" w14:textId="77777777" w:rsidR="00B921D9" w:rsidRDefault="000B6E9F">
      <w:pPr>
        <w:pStyle w:val="atre"/>
      </w:pPr>
      <w:r>
        <w:t xml:space="preserve">W podbudowie należy stosować beton o wytrzymałości odpowiadającej klasie C16/20 (warstwa górna z zatopioną kostką) i C20/25 (warstwa dolna). </w:t>
      </w:r>
    </w:p>
    <w:p w14:paraId="4F13A15C" w14:textId="77777777" w:rsidR="00B921D9" w:rsidRDefault="000B6E9F">
      <w:pPr>
        <w:pStyle w:val="atre"/>
      </w:pPr>
      <w:r>
        <w:t>W przypadkach szczególnych dopuszcza się stosowanie betonu o klasie wyższej.</w:t>
      </w:r>
    </w:p>
    <w:p w14:paraId="3F2236E4" w14:textId="77777777" w:rsidR="00B921D9" w:rsidRDefault="000B6E9F">
      <w:pPr>
        <w:pStyle w:val="atre"/>
      </w:pPr>
      <w:r>
        <w:t>Nasiąkliwość betonu nie powinna przekraczać 6% (m/m).</w:t>
      </w:r>
    </w:p>
    <w:p w14:paraId="1EA094F5" w14:textId="77777777" w:rsidR="00B921D9" w:rsidRDefault="000B6E9F">
      <w:pPr>
        <w:pStyle w:val="atre"/>
      </w:pPr>
      <w:r>
        <w:t>Średnia wytrzymałość na ściskanie próbek zamrażanych, badanych zgodnie z, nie powinna być mniejsza niż 80% wartości średniej wytrzymałości próbek niezamrażanych.</w:t>
      </w:r>
    </w:p>
    <w:p w14:paraId="117F4376" w14:textId="77777777" w:rsidR="00B921D9" w:rsidRDefault="000B6E9F">
      <w:pPr>
        <w:pStyle w:val="atre"/>
      </w:pPr>
      <w:r>
        <w:t xml:space="preserve">Należy stosować normę badawczą PN-EN 12390-3;2011, Wytrzymałość na ściskanie próbek do badań </w:t>
      </w:r>
    </w:p>
    <w:p w14:paraId="5A4BD225" w14:textId="77777777" w:rsidR="00B921D9" w:rsidRDefault="000B6E9F">
      <w:pPr>
        <w:pStyle w:val="apunkt1"/>
      </w:pPr>
      <w:r>
        <w:t>SPRZĘT</w:t>
      </w:r>
    </w:p>
    <w:p w14:paraId="29C9ABD6" w14:textId="77777777" w:rsidR="00B921D9" w:rsidRDefault="000B6E9F">
      <w:pPr>
        <w:pStyle w:val="apunkt11"/>
      </w:pPr>
      <w:r>
        <w:t>Ogólne wymagania dotyczące sprzętu</w:t>
      </w:r>
    </w:p>
    <w:p w14:paraId="38D1F4C7" w14:textId="77777777" w:rsidR="00B921D9" w:rsidRDefault="000B6E9F">
      <w:pPr>
        <w:pStyle w:val="atre"/>
      </w:pPr>
      <w:r>
        <w:t>Ogólne wymagania i ustalenia dotyczące sprzętu określono w ST D-00.00.00 pkt 3.</w:t>
      </w:r>
    </w:p>
    <w:p w14:paraId="69A84D6F" w14:textId="77777777" w:rsidR="00B921D9" w:rsidRDefault="000B6E9F">
      <w:pPr>
        <w:pStyle w:val="apunkt11"/>
      </w:pPr>
      <w:r>
        <w:t>Sprzęt stosowany do wykonania robót</w:t>
      </w:r>
    </w:p>
    <w:p w14:paraId="78AF7EAD" w14:textId="77777777" w:rsidR="00B921D9" w:rsidRDefault="000B6E9F">
      <w:pPr>
        <w:pStyle w:val="atre"/>
      </w:pPr>
      <w:r>
        <w:t>Wykonawca przystępujący do wykonania podbudowy z betonu cementowego powinien wykazać się możliwością korzystania z następującego sprzętu:</w:t>
      </w:r>
    </w:p>
    <w:p w14:paraId="7F9BAD80" w14:textId="77777777" w:rsidR="00B921D9" w:rsidRDefault="000B6E9F">
      <w:pPr>
        <w:pStyle w:val="atrepunktowanie"/>
      </w:pPr>
      <w:r>
        <w:lastRenderedPageBreak/>
        <w:t>wytwórni stacjonarnej typu ciągłego do wytwarzania mieszanki betonowej lub odpowiedniej wielkości betoniarek,</w:t>
      </w:r>
    </w:p>
    <w:p w14:paraId="125C150B" w14:textId="77777777" w:rsidR="00B921D9" w:rsidRDefault="000B6E9F">
      <w:pPr>
        <w:pStyle w:val="atrepunktowanie"/>
      </w:pPr>
      <w:r>
        <w:t>przewoźnych zbiorników na wodę,</w:t>
      </w:r>
    </w:p>
    <w:p w14:paraId="719FFF1D" w14:textId="77777777" w:rsidR="00B921D9" w:rsidRDefault="000B6E9F">
      <w:pPr>
        <w:pStyle w:val="atrepunktowanie"/>
      </w:pPr>
      <w:r>
        <w:t>układarek albo równiarek do rozkładania mieszanki betonowej,</w:t>
      </w:r>
    </w:p>
    <w:p w14:paraId="220AFD9D" w14:textId="77777777" w:rsidR="00B921D9" w:rsidRDefault="000B6E9F">
      <w:pPr>
        <w:pStyle w:val="atrepunktowanie"/>
      </w:pPr>
      <w:r>
        <w:t xml:space="preserve">mechanicznych </w:t>
      </w:r>
      <w:proofErr w:type="spellStart"/>
      <w:r>
        <w:t>listw</w:t>
      </w:r>
      <w:proofErr w:type="spellEnd"/>
      <w:r>
        <w:t xml:space="preserve"> wibracyjnych do zagęszczania mieszanki betonowej,</w:t>
      </w:r>
    </w:p>
    <w:p w14:paraId="1AB0301A" w14:textId="77777777" w:rsidR="00B921D9" w:rsidRDefault="000B6E9F">
      <w:pPr>
        <w:pStyle w:val="atrepunktowanie"/>
      </w:pPr>
      <w:r>
        <w:t>walców wibracyjnych, zagęszczarek płytowych, małych walców wibracyjnych, m.in. do zagęszczania w miejscach trudno dostępnych.</w:t>
      </w:r>
    </w:p>
    <w:p w14:paraId="74321488" w14:textId="77777777" w:rsidR="00B921D9" w:rsidRDefault="000B6E9F">
      <w:pPr>
        <w:pStyle w:val="apunkt1"/>
      </w:pPr>
      <w:r>
        <w:t>TRANSPORT</w:t>
      </w:r>
    </w:p>
    <w:p w14:paraId="404AA35C" w14:textId="77777777" w:rsidR="00B921D9" w:rsidRDefault="000B6E9F">
      <w:pPr>
        <w:pStyle w:val="apunkt11"/>
      </w:pPr>
      <w:r>
        <w:t>Ogólne wymagania dotyczące transportu</w:t>
      </w:r>
    </w:p>
    <w:p w14:paraId="0A69E74D" w14:textId="77777777" w:rsidR="00B921D9" w:rsidRDefault="000B6E9F">
      <w:pPr>
        <w:pStyle w:val="atre"/>
      </w:pPr>
      <w:r>
        <w:t xml:space="preserve">Ogólne wymagania dotyczące transportu podano w ST D-00.00.00 „Wymagania ogólne” pkt 4. </w:t>
      </w:r>
    </w:p>
    <w:p w14:paraId="1BDB3783" w14:textId="77777777" w:rsidR="00B921D9" w:rsidRDefault="000B6E9F">
      <w:pPr>
        <w:pStyle w:val="apunkt11"/>
      </w:pPr>
      <w:r>
        <w:t>Transport materiałów</w:t>
      </w:r>
    </w:p>
    <w:p w14:paraId="43ED5B74" w14:textId="77777777" w:rsidR="00B921D9" w:rsidRDefault="000B6E9F">
      <w:pPr>
        <w:pStyle w:val="atre"/>
      </w:pPr>
      <w:r>
        <w:t>Materiały sypkie, stal, domieszki można przewozić dowolnymi środkami transportu, w warunkach zabezpieczających je przed zanieczyszczeniem, zmieszaniem z innymi materiałami i nadmiernym zawilgoceniem.</w:t>
      </w:r>
    </w:p>
    <w:p w14:paraId="03DA5A32" w14:textId="77777777" w:rsidR="00B921D9" w:rsidRDefault="000B6E9F">
      <w:pPr>
        <w:pStyle w:val="atre"/>
      </w:pPr>
      <w:r>
        <w:t>Cement luzem należy przewozić cementowozami, natomiast workowany można przewozić dowolnymi środkami transportu, w sposób zabezpieczony przed zawilgoceniem.</w:t>
      </w:r>
    </w:p>
    <w:p w14:paraId="6AC2D69A" w14:textId="77777777" w:rsidR="00B921D9" w:rsidRDefault="000B6E9F">
      <w:pPr>
        <w:pStyle w:val="atre"/>
      </w:pPr>
      <w:r>
        <w:t>Masy zalewowe, wkładki uszczelniające, materiały do pielęgnacji należy dostarczać zgodnie z warunkami podanymi w aprobatach technicznych lub ustaleniach producentów.</w:t>
      </w:r>
    </w:p>
    <w:p w14:paraId="4FAFB2C1" w14:textId="77777777" w:rsidR="00B921D9" w:rsidRDefault="000B6E9F">
      <w:pPr>
        <w:pStyle w:val="apunkt1"/>
      </w:pPr>
      <w:r>
        <w:t>WYKONANIE ROBÓT</w:t>
      </w:r>
    </w:p>
    <w:p w14:paraId="226963AB" w14:textId="77777777" w:rsidR="00B921D9" w:rsidRDefault="000B6E9F">
      <w:pPr>
        <w:pStyle w:val="apunkt11"/>
      </w:pPr>
      <w:r>
        <w:t>Ogólne zasady wykonania robót</w:t>
      </w:r>
    </w:p>
    <w:p w14:paraId="40214A86" w14:textId="77777777" w:rsidR="00B921D9" w:rsidRDefault="000B6E9F">
      <w:pPr>
        <w:pStyle w:val="atre"/>
      </w:pPr>
      <w:r>
        <w:t>Ogólne zasady wykonania robót podano w ST D-00.00.00 ,,Wymagania ogólne".</w:t>
      </w:r>
    </w:p>
    <w:p w14:paraId="5834C162" w14:textId="77777777" w:rsidR="00B921D9" w:rsidRDefault="000B6E9F">
      <w:pPr>
        <w:pStyle w:val="apunkt11"/>
      </w:pPr>
      <w:r>
        <w:t>Zasady wykonywania robót</w:t>
      </w:r>
    </w:p>
    <w:p w14:paraId="7AEBAA1C" w14:textId="77777777" w:rsidR="00B921D9" w:rsidRDefault="000B6E9F">
      <w:pPr>
        <w:pStyle w:val="atre"/>
      </w:pPr>
      <w:r>
        <w:t xml:space="preserve">  Technologia i sposób wykonania robót powinny być zgodne z dokumentacją projektową i ST. W przypadku braku wystarczających danych można korzystać z ustaleń podanych w niniejszej specyfikacji oraz z informacji podanych w załączniku 1.</w:t>
      </w:r>
    </w:p>
    <w:p w14:paraId="3DE9E863" w14:textId="77777777" w:rsidR="00B921D9" w:rsidRDefault="000B6E9F">
      <w:pPr>
        <w:pStyle w:val="atre"/>
      </w:pPr>
      <w:r>
        <w:t>Podstawowe czynności przy wykonywaniu robót obejmują:</w:t>
      </w:r>
    </w:p>
    <w:p w14:paraId="5184ED50" w14:textId="77777777" w:rsidR="00B921D9" w:rsidRDefault="000B6E9F">
      <w:pPr>
        <w:pStyle w:val="atrepunktowanie"/>
      </w:pPr>
      <w:r>
        <w:t xml:space="preserve">roboty przygotowawcze, </w:t>
      </w:r>
    </w:p>
    <w:p w14:paraId="7390FD9C" w14:textId="77777777" w:rsidR="00B921D9" w:rsidRDefault="000B6E9F">
      <w:pPr>
        <w:pStyle w:val="atrepunktowanie"/>
      </w:pPr>
      <w:r>
        <w:t>wykonanie podbudowy,</w:t>
      </w:r>
    </w:p>
    <w:p w14:paraId="1C5E4AED" w14:textId="77777777" w:rsidR="00B921D9" w:rsidRDefault="000B6E9F">
      <w:pPr>
        <w:pStyle w:val="atrepunktowanie"/>
      </w:pPr>
      <w:r>
        <w:t>pielęgnację podbudowy,</w:t>
      </w:r>
    </w:p>
    <w:p w14:paraId="686D264F" w14:textId="77777777" w:rsidR="00B921D9" w:rsidRDefault="000B6E9F">
      <w:pPr>
        <w:pStyle w:val="atrepunktowanie"/>
      </w:pPr>
      <w:r>
        <w:t>roboty wykończeniowe.</w:t>
      </w:r>
    </w:p>
    <w:p w14:paraId="3E639817" w14:textId="77777777" w:rsidR="00B921D9" w:rsidRDefault="000B6E9F">
      <w:pPr>
        <w:pStyle w:val="apunkt11"/>
      </w:pPr>
      <w:r>
        <w:t>Roboty przygotowawcze</w:t>
      </w:r>
    </w:p>
    <w:p w14:paraId="0DCE79B5" w14:textId="77777777" w:rsidR="00B921D9" w:rsidRDefault="000B6E9F">
      <w:pPr>
        <w:pStyle w:val="apunkt111"/>
      </w:pPr>
      <w:r>
        <w:t>Wstępne roboty przygotowawcze</w:t>
      </w:r>
    </w:p>
    <w:p w14:paraId="451FD5F1" w14:textId="77777777" w:rsidR="00B921D9" w:rsidRDefault="000B6E9F">
      <w:pPr>
        <w:pStyle w:val="atre"/>
      </w:pPr>
      <w:r>
        <w:t>Przed przystąpieniem do robót należy, na podstawie dokumentacji projektowej, ST lub wskazań Inspektora Nadzoru Inwestorskiego:</w:t>
      </w:r>
    </w:p>
    <w:p w14:paraId="715F5970" w14:textId="77777777" w:rsidR="00B921D9" w:rsidRDefault="000B6E9F">
      <w:pPr>
        <w:pStyle w:val="atrepunktowanie"/>
      </w:pPr>
      <w:r>
        <w:t>ustalić lokalizację terenu robót,</w:t>
      </w:r>
    </w:p>
    <w:p w14:paraId="71F70430" w14:textId="77777777" w:rsidR="00B921D9" w:rsidRDefault="000B6E9F">
      <w:pPr>
        <w:pStyle w:val="atrepunktowanie"/>
      </w:pPr>
      <w:r>
        <w:t>przeprowadzić obliczenia i pomiary geodezyjne niezbędne do szczegółowego wytyczenia robót oraz ustalenia danych wysokościowych,</w:t>
      </w:r>
    </w:p>
    <w:p w14:paraId="2C6891DC" w14:textId="77777777" w:rsidR="00B921D9" w:rsidRDefault="000B6E9F">
      <w:pPr>
        <w:pStyle w:val="atrepunktowanie"/>
      </w:pPr>
      <w:r>
        <w:t>usunąć przeszkody, np. drzewa, krzaki, obiekty, elementy dróg, ogrodzeń itd.</w:t>
      </w:r>
    </w:p>
    <w:p w14:paraId="42B07878" w14:textId="77777777" w:rsidR="00B921D9" w:rsidRDefault="000B6E9F">
      <w:pPr>
        <w:pStyle w:val="apunkt111"/>
      </w:pPr>
      <w:r>
        <w:t>Przygotowanie podłoża</w:t>
      </w:r>
    </w:p>
    <w:p w14:paraId="070A5B61" w14:textId="77777777" w:rsidR="00B921D9" w:rsidRDefault="000B6E9F">
      <w:pPr>
        <w:pStyle w:val="atre"/>
      </w:pPr>
      <w:r>
        <w:t>Podłożem pod podbudowę z betonu cementowego C16/20 będzie podbudowa pomocnicza z mieszanki niezwiązanej – kruszywo łamane stabilizowane mechaniczne, którą należy wykonać zgodnie z  wymaganiami ST D-04.04.02.</w:t>
      </w:r>
    </w:p>
    <w:p w14:paraId="33604C2A" w14:textId="77777777" w:rsidR="00B921D9" w:rsidRDefault="000B6E9F">
      <w:pPr>
        <w:pStyle w:val="apunkt11"/>
      </w:pPr>
      <w:r>
        <w:t>Układanie mieszanki betonowej</w:t>
      </w:r>
    </w:p>
    <w:p w14:paraId="1056BC61" w14:textId="77777777" w:rsidR="00B921D9" w:rsidRDefault="000B6E9F">
      <w:pPr>
        <w:pStyle w:val="apunkt111"/>
      </w:pPr>
      <w:r>
        <w:t>Projektowanie mieszanki betonowej</w:t>
      </w:r>
    </w:p>
    <w:p w14:paraId="6A8595E6" w14:textId="77777777" w:rsidR="00B921D9" w:rsidRDefault="000B6E9F">
      <w:pPr>
        <w:pStyle w:val="atre"/>
      </w:pPr>
      <w:r>
        <w:lastRenderedPageBreak/>
        <w:t>Ustalenie składu mieszanki betonowej powinno odpowiadać wymaganiom PN-S-96014:1997 oraz punktu 2.9 niniejszej specyfikacji.</w:t>
      </w:r>
    </w:p>
    <w:p w14:paraId="21D48F65" w14:textId="77777777" w:rsidR="00B921D9" w:rsidRDefault="000B6E9F">
      <w:pPr>
        <w:pStyle w:val="atre"/>
      </w:pPr>
      <w:r>
        <w:t xml:space="preserve">Podczas projektowania składu betonu należy wykonać próbne </w:t>
      </w:r>
      <w:proofErr w:type="spellStart"/>
      <w:r>
        <w:t>zaroby</w:t>
      </w:r>
      <w:proofErr w:type="spellEnd"/>
      <w:r>
        <w:t xml:space="preserve"> w celu sprawdzenia właściwości mieszanki w zakresie oznaczenia konsystencji, zawartości powietrza i oznaczenia gęstości.</w:t>
      </w:r>
    </w:p>
    <w:p w14:paraId="728DCC50" w14:textId="77777777" w:rsidR="00B921D9" w:rsidRDefault="000B6E9F">
      <w:pPr>
        <w:pStyle w:val="apunkt111"/>
      </w:pPr>
      <w:r>
        <w:t>Warunki przystąpienia do robót</w:t>
      </w:r>
    </w:p>
    <w:p w14:paraId="44E402DC" w14:textId="77777777" w:rsidR="00B921D9" w:rsidRDefault="000B6E9F">
      <w:pPr>
        <w:pStyle w:val="atre"/>
      </w:pPr>
      <w:r>
        <w:t>Podbudowę z betonu cementowego zaleca się wykonywać przy temperaturze powietrza od 5˚C do 25˚C. Dopuszcza się wykonywanie podbudowy w temperaturze powietrza powyżej 25˚C pod warunkiem nieprzekroczenia temperatury mieszanki betonowej powyżej 30˚C. Wykonywanie podbudowy w temperaturze poniżej 5˚C dopuszcza się pod warunkiem stosowania zabiegów specjalnych, pozwalających na utrzymanie temperatury mieszanki betonowej powyżej 5˚C przez okres co najmniej 3 dni.</w:t>
      </w:r>
    </w:p>
    <w:p w14:paraId="7A4E9E0A" w14:textId="77777777" w:rsidR="00B921D9" w:rsidRDefault="000B6E9F">
      <w:pPr>
        <w:pStyle w:val="atre"/>
      </w:pPr>
      <w:r>
        <w:t>Betonowania nie można wykonywać podczas opadów deszczu.</w:t>
      </w:r>
    </w:p>
    <w:p w14:paraId="3511E9F5" w14:textId="77777777" w:rsidR="00B921D9" w:rsidRDefault="000B6E9F">
      <w:pPr>
        <w:pStyle w:val="apunkt111"/>
      </w:pPr>
      <w:r>
        <w:t>Wytwarzanie mieszanki betonowej</w:t>
      </w:r>
    </w:p>
    <w:p w14:paraId="0B492D74" w14:textId="77777777" w:rsidR="00B921D9" w:rsidRDefault="000B6E9F">
      <w:pPr>
        <w:pStyle w:val="atre"/>
      </w:pPr>
      <w:r>
        <w:t>Mieszankę betonową o składzie zawartym w recepcie laboratoryjnej, należy wytwarzać w wytwórniach betonu, zapewniających ciągłość produkcji i gwarantujących otrzymanie jednorodnej mieszanki.</w:t>
      </w:r>
    </w:p>
    <w:p w14:paraId="11617FA1" w14:textId="77777777" w:rsidR="00B921D9" w:rsidRDefault="000B6E9F">
      <w:pPr>
        <w:pStyle w:val="atre"/>
      </w:pPr>
      <w:r>
        <w:t>Mieszanka po wyprodukowaniu powinna być od razu transportowana na miejsce wbudowania w sposób zabezpieczający przed segregacją i wysychaniem.</w:t>
      </w:r>
    </w:p>
    <w:p w14:paraId="6469F7B6" w14:textId="77777777" w:rsidR="00B921D9" w:rsidRDefault="000B6E9F">
      <w:pPr>
        <w:pStyle w:val="apunkt111"/>
      </w:pPr>
      <w:r>
        <w:t>Wbudowanie mieszanki betonowej</w:t>
      </w:r>
    </w:p>
    <w:p w14:paraId="5050F21C" w14:textId="77777777" w:rsidR="00B921D9" w:rsidRDefault="000B6E9F">
      <w:pPr>
        <w:pStyle w:val="atre"/>
      </w:pPr>
      <w:r>
        <w:t>Wbudowanie mieszanki betonowej w podbudowę należy wykonywać mechanicznie, przy zastosowaniu odpowiedniego sprzętu, zapewniającego równomierne rozłożenie masy oraz zachowanie jej jednorodności.</w:t>
      </w:r>
    </w:p>
    <w:p w14:paraId="4C64F2B7" w14:textId="77777777" w:rsidR="00B921D9" w:rsidRDefault="000B6E9F">
      <w:pPr>
        <w:pStyle w:val="atre"/>
      </w:pPr>
      <w:r>
        <w:t>Dopuszcza się ręczne wbudowywanie mieszanki betonowej przy wykonywaniu małych robót, w tym o nieregularnych kształtach powierzchnia na zatokach autobusowych.</w:t>
      </w:r>
    </w:p>
    <w:p w14:paraId="57C02873" w14:textId="77777777" w:rsidR="00B921D9" w:rsidRDefault="000B6E9F">
      <w:pPr>
        <w:pStyle w:val="atre"/>
      </w:pPr>
      <w:r>
        <w:t xml:space="preserve">Wbudowanie mieszanki betonowej odbywa się za pomocą maszyn poruszających się po prowadnicach. Prowadnice powinny być tak skonstruowane, aby spełniały równocześnie rolę </w:t>
      </w:r>
      <w:proofErr w:type="spellStart"/>
      <w:r>
        <w:t>deskowań</w:t>
      </w:r>
      <w:proofErr w:type="spellEnd"/>
      <w:r>
        <w:t xml:space="preserve"> i dlatego od strony wewnętrznej powinny być zabezpieczone przed przyczepnością betonu (np. natłuszczone olejem mineralnym). Prowadnice powinny być przytwierdzone do podłoża w sposób uniemożliwiający ich przemieszczanie i zapewniający ciągłość na złączach. Powierzchnie styku prowadnic z mieszanką betonową muszą być gładkie, czyste i pozbawione resztek stwardniałego betonu.</w:t>
      </w:r>
    </w:p>
    <w:p w14:paraId="01DCB90B" w14:textId="77777777" w:rsidR="00B921D9" w:rsidRDefault="000B6E9F">
      <w:pPr>
        <w:pStyle w:val="atre"/>
      </w:pPr>
      <w:r>
        <w:t>Ustawienie prowadnic winno być takie, aby zapewniało uzyskanie przez podbudowę wymaganej niwelety, spadków podłużnych i poprzecznych.</w:t>
      </w:r>
    </w:p>
    <w:p w14:paraId="0BB398BE" w14:textId="77777777" w:rsidR="00B921D9" w:rsidRDefault="000B6E9F">
      <w:pPr>
        <w:pStyle w:val="atre"/>
      </w:pPr>
      <w:r>
        <w:t>Zdjęcie prowadnic może nastąpić nie wcześniej niż po upływie 36 godzin od zakończenia betonowania płyt w temperaturze otoczenia powyżej 10oC, a przy temperaturze otoczenia niższej - nie wcześniej niż po upływie 48 godzin. Prowadnice powinny być zdejmowane bez uszkodzenia wykonanej podbudowy.</w:t>
      </w:r>
    </w:p>
    <w:p w14:paraId="03F757EB" w14:textId="77777777" w:rsidR="00B921D9" w:rsidRDefault="000B6E9F">
      <w:pPr>
        <w:pStyle w:val="atre"/>
      </w:pPr>
      <w:r>
        <w:t>Przy stosowaniu deskowania ślizgowego (przesuwnego), wbudowywanie mieszanki betonowej dokonuje się układarką mechaniczną, która przesuwając się formuje płytę podbudowy, ograniczając ją z boku deskowaniem ślizgowym, bez stosowania prowadnic.</w:t>
      </w:r>
    </w:p>
    <w:p w14:paraId="42F480E4" w14:textId="77777777" w:rsidR="00B921D9" w:rsidRDefault="000B6E9F">
      <w:pPr>
        <w:pStyle w:val="apunkt111"/>
      </w:pPr>
      <w:r>
        <w:t>Zagęszczanie mieszanki betonowej</w:t>
      </w:r>
    </w:p>
    <w:p w14:paraId="3901940E" w14:textId="77777777" w:rsidR="00B921D9" w:rsidRDefault="000B6E9F">
      <w:pPr>
        <w:pStyle w:val="atre"/>
      </w:pPr>
      <w:r>
        <w:t>Do zagęszczania mieszanki betonowej w podbudowie należy stosować odpowiednie mechaniczne urządzenia wibracyjne, zapewniające jednolite jej zagęszczenie.</w:t>
      </w:r>
    </w:p>
    <w:p w14:paraId="0C99BF3F" w14:textId="77777777" w:rsidR="00B921D9" w:rsidRDefault="000B6E9F">
      <w:pPr>
        <w:pStyle w:val="apunkt111"/>
      </w:pPr>
      <w:r>
        <w:t>Szczeliny</w:t>
      </w:r>
    </w:p>
    <w:p w14:paraId="014A856B" w14:textId="77777777" w:rsidR="00B921D9" w:rsidRDefault="000B6E9F">
      <w:pPr>
        <w:pStyle w:val="atre"/>
      </w:pPr>
      <w:r>
        <w:t xml:space="preserve">W podbudowie zatok wykonuje się tylko szczeliny skurczowe pozorne co 4m. Spoiny wypełnić zalewami na gorąco lub masami na zimno. </w:t>
      </w:r>
    </w:p>
    <w:p w14:paraId="22ED0FD2" w14:textId="77777777" w:rsidR="00B921D9" w:rsidRDefault="000B6E9F">
      <w:pPr>
        <w:pStyle w:val="atre"/>
      </w:pPr>
      <w:r>
        <w:t>Szczeliny skurczowe pozorne należy wykonywać przez nacinanie stwardniałego betonu tarczowymi piłami mechanicznymi do głębokości 1/3 ¸ 1/4 grubości płyty.</w:t>
      </w:r>
    </w:p>
    <w:p w14:paraId="7B84BCBC" w14:textId="77777777" w:rsidR="00B921D9" w:rsidRDefault="000B6E9F">
      <w:pPr>
        <w:pStyle w:val="atre"/>
      </w:pPr>
      <w:r>
        <w:t>Szczeliny konstrukcyjne należy wykonać na całej grubości płyty w miejscach połączeń podbudowy z elementami infrastruktury drogowej (krawężniki, studzienki, korytka itp.).</w:t>
      </w:r>
    </w:p>
    <w:p w14:paraId="2E496EA6" w14:textId="77777777" w:rsidR="00B921D9" w:rsidRDefault="000B6E9F">
      <w:pPr>
        <w:pStyle w:val="atre"/>
      </w:pPr>
      <w:r>
        <w:t>Szczeliny skurczowe pełne należy wykonywać na całej grubości płyty między odcinkami betonowania, jeśli przerwa w betonowaniu trwała dłużej niż 1 godzinę</w:t>
      </w:r>
    </w:p>
    <w:p w14:paraId="52269937" w14:textId="77777777" w:rsidR="00B921D9" w:rsidRDefault="000B6E9F">
      <w:pPr>
        <w:pStyle w:val="apunkt11"/>
      </w:pPr>
      <w:r>
        <w:lastRenderedPageBreak/>
        <w:t>Pielęgnacja podbudowy</w:t>
      </w:r>
    </w:p>
    <w:p w14:paraId="2DD0B4B0" w14:textId="77777777" w:rsidR="00B921D9" w:rsidRDefault="000B6E9F">
      <w:pPr>
        <w:pStyle w:val="atre"/>
      </w:pPr>
      <w:r>
        <w:t>Bezpośrednio po zagęszczeniu  należy świeży beton zabezpieczyć przed wyparowaniem wody przez pokrycie jego powierzchni materiałami według punktu 2.2.8. Należy to wykonać przed upływem 90 min od chwili zakończenia zagęszczania.</w:t>
      </w:r>
    </w:p>
    <w:p w14:paraId="3AB09862" w14:textId="77777777" w:rsidR="00B921D9" w:rsidRDefault="000B6E9F">
      <w:pPr>
        <w:pStyle w:val="atre"/>
      </w:pPr>
      <w:r>
        <w:t>W przypadku pielęgnacji podbudowy wilgotną warstwą piasku lub grubej włókniny należy utrzymywać ją w stanie wilgotnym siedem dni. W przypadku gdy temperatura powietrza jest powyżej 25˚C pielęgnację należy przedłużyć do 10 dni.</w:t>
      </w:r>
    </w:p>
    <w:p w14:paraId="23D2B647" w14:textId="77777777" w:rsidR="00B921D9" w:rsidRDefault="000B6E9F">
      <w:pPr>
        <w:pStyle w:val="atre"/>
      </w:pPr>
      <w:r>
        <w:t>Stosowanie innych środków do pielęgnacji podbudowy wymaga każdorazowej zgody Inspektora Nadzoru Inwestorskiego.</w:t>
      </w:r>
    </w:p>
    <w:p w14:paraId="65A790FD" w14:textId="77777777" w:rsidR="00B921D9" w:rsidRDefault="000B6E9F">
      <w:pPr>
        <w:pStyle w:val="apunkt11"/>
      </w:pPr>
      <w:r>
        <w:t>Roboty wykończeniowe</w:t>
      </w:r>
    </w:p>
    <w:p w14:paraId="687239E3" w14:textId="77777777" w:rsidR="00B921D9" w:rsidRDefault="000B6E9F">
      <w:pPr>
        <w:pStyle w:val="atre"/>
      </w:pPr>
      <w:r>
        <w:t>Roboty wykończeniowe powinny być zgodne z dokumentacją projektową i ST. Do robót wykończeniowych należą prace związane z dostosowaniem wykonanych robót do istniejących warunków terenowych, takie jak roboty porządkujące otoczenie terenu robót.</w:t>
      </w:r>
    </w:p>
    <w:p w14:paraId="01239C99" w14:textId="77777777" w:rsidR="00B921D9" w:rsidRDefault="000B6E9F">
      <w:pPr>
        <w:pStyle w:val="apunkt1"/>
      </w:pPr>
      <w:r>
        <w:t>KONTROLA JAKOŚCI ROBÓT</w:t>
      </w:r>
    </w:p>
    <w:p w14:paraId="4E3B58F9" w14:textId="77777777" w:rsidR="00B921D9" w:rsidRDefault="000B6E9F">
      <w:pPr>
        <w:pStyle w:val="apunkt11"/>
      </w:pPr>
      <w:r>
        <w:t>Ogólne zasady kontroli jakości robót</w:t>
      </w:r>
    </w:p>
    <w:p w14:paraId="55D1158F" w14:textId="77777777" w:rsidR="00B921D9" w:rsidRDefault="000B6E9F">
      <w:pPr>
        <w:pStyle w:val="atre"/>
      </w:pPr>
      <w:r>
        <w:t>Ogólne zasady kontroli jakości robót podano w ST D-00.00.00  „Wymagania ogólne” .</w:t>
      </w:r>
    </w:p>
    <w:p w14:paraId="5134F0BB" w14:textId="77777777" w:rsidR="00B921D9" w:rsidRDefault="000B6E9F">
      <w:pPr>
        <w:pStyle w:val="apunkt11"/>
      </w:pPr>
      <w:r>
        <w:t>Badania przed przystąpieniem do robót</w:t>
      </w:r>
    </w:p>
    <w:p w14:paraId="77041158" w14:textId="77777777" w:rsidR="00B921D9" w:rsidRDefault="000B6E9F">
      <w:pPr>
        <w:pStyle w:val="atre"/>
      </w:pPr>
      <w:r>
        <w:t>Przed przystąpieniem do robót Wykonawca powinien:</w:t>
      </w:r>
    </w:p>
    <w:p w14:paraId="721A4DE2" w14:textId="77777777" w:rsidR="00B921D9" w:rsidRDefault="000B6E9F">
      <w:pPr>
        <w:pStyle w:val="atrepunktowanie"/>
      </w:pPr>
      <w:r>
        <w:t>uzyskać wymagane dokumenty, dopuszczające wyroby budowlane do obrotu i powszechnego stosowania (aprobaty techniczne, certyfikaty zgodności, deklaracje zgodności, ew. badania materiałów wykonane przez dostawców itp.),</w:t>
      </w:r>
    </w:p>
    <w:p w14:paraId="762ACD1C" w14:textId="77777777" w:rsidR="00B921D9" w:rsidRDefault="000B6E9F">
      <w:pPr>
        <w:pStyle w:val="atrepunktowanie"/>
      </w:pPr>
      <w:r>
        <w:t xml:space="preserve">wykonać badania właściwości materiałów przeznaczonych do wykonania robót, określone w </w:t>
      </w:r>
      <w:proofErr w:type="spellStart"/>
      <w:r>
        <w:t>pkcie</w:t>
      </w:r>
      <w:proofErr w:type="spellEnd"/>
      <w:r>
        <w:t xml:space="preserve"> 2,</w:t>
      </w:r>
    </w:p>
    <w:p w14:paraId="630BAEAB" w14:textId="77777777" w:rsidR="00B921D9" w:rsidRDefault="000B6E9F">
      <w:pPr>
        <w:pStyle w:val="atrepunktowanie"/>
      </w:pPr>
      <w:r>
        <w:t>sprawdzić cechy zewnętrzne gotowych materiałów z tworzyw i prefabrykowanych.</w:t>
      </w:r>
    </w:p>
    <w:p w14:paraId="5238CDEE" w14:textId="77777777" w:rsidR="00B921D9" w:rsidRDefault="000B6E9F">
      <w:pPr>
        <w:pStyle w:val="atre"/>
      </w:pPr>
      <w:r>
        <w:t>Wszystkie dokumenty oraz wyniki badań Wykonawca przedstawia Inżynierowi do akceptacji.</w:t>
      </w:r>
    </w:p>
    <w:p w14:paraId="68410E4E" w14:textId="77777777" w:rsidR="00B921D9" w:rsidRDefault="000B6E9F">
      <w:pPr>
        <w:pStyle w:val="apunkt11"/>
      </w:pPr>
      <w:r>
        <w:t>Badania w czasie robót i badania odbiorcze</w:t>
      </w:r>
    </w:p>
    <w:p w14:paraId="22CEC74A" w14:textId="77777777" w:rsidR="00B921D9" w:rsidRDefault="000B6E9F">
      <w:pPr>
        <w:pStyle w:val="atre"/>
      </w:pPr>
      <w:r>
        <w:t>Częstotliwość oraz zakres badań i pomiarów, które należy wykonać podaje tab. 1.</w:t>
      </w:r>
    </w:p>
    <w:p w14:paraId="71C02C82" w14:textId="77777777" w:rsidR="00B921D9" w:rsidRDefault="00B921D9">
      <w:pPr>
        <w:pStyle w:val="atre"/>
      </w:pPr>
    </w:p>
    <w:p w14:paraId="74787421" w14:textId="77777777" w:rsidR="00B921D9" w:rsidRDefault="000B6E9F">
      <w:pPr>
        <w:pStyle w:val="atre"/>
      </w:pPr>
      <w:r>
        <w:t xml:space="preserve">Tablica 1. Częstotliwość oraz zakres badań i pomiarów </w:t>
      </w:r>
    </w:p>
    <w:p w14:paraId="4C0C0E66" w14:textId="77777777" w:rsidR="00B921D9" w:rsidRDefault="00B921D9">
      <w:pPr>
        <w:pStyle w:val="atre"/>
      </w:pPr>
    </w:p>
    <w:p w14:paraId="05913500" w14:textId="77777777" w:rsidR="00B921D9" w:rsidRDefault="00B921D9">
      <w:pPr>
        <w:pStyle w:val="atre"/>
      </w:pPr>
    </w:p>
    <w:tbl>
      <w:tblPr>
        <w:tblW w:w="9053" w:type="dxa"/>
        <w:tblInd w:w="-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987"/>
        <w:gridCol w:w="3233"/>
        <w:gridCol w:w="2338"/>
      </w:tblGrid>
      <w:tr w:rsidR="00B921D9" w14:paraId="467635E0" w14:textId="77777777"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AB0197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9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68C75C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Wyszczególnienie badań i pomiarów</w:t>
            </w:r>
          </w:p>
        </w:tc>
        <w:tc>
          <w:tcPr>
            <w:tcW w:w="323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BB4F587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Częstotliwość badań</w:t>
            </w:r>
          </w:p>
        </w:tc>
        <w:tc>
          <w:tcPr>
            <w:tcW w:w="233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3C2578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Wartości dopuszczalne</w:t>
            </w:r>
          </w:p>
        </w:tc>
      </w:tr>
      <w:tr w:rsidR="00B921D9" w14:paraId="02C1CB51" w14:textId="77777777">
        <w:tc>
          <w:tcPr>
            <w:tcW w:w="495" w:type="dxa"/>
            <w:tcBorders>
              <w:left w:val="single" w:sz="8" w:space="0" w:color="000000"/>
              <w:bottom w:val="double" w:sz="6" w:space="0" w:color="000000"/>
              <w:right w:val="single" w:sz="8" w:space="0" w:color="000000"/>
            </w:tcBorders>
          </w:tcPr>
          <w:p w14:paraId="3FFD9E94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987" w:type="dxa"/>
            <w:tcBorders>
              <w:bottom w:val="double" w:sz="6" w:space="0" w:color="000000"/>
              <w:right w:val="single" w:sz="8" w:space="0" w:color="000000"/>
            </w:tcBorders>
          </w:tcPr>
          <w:p w14:paraId="7FB96330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3233" w:type="dxa"/>
            <w:tcBorders>
              <w:bottom w:val="double" w:sz="6" w:space="0" w:color="000000"/>
              <w:right w:val="single" w:sz="8" w:space="0" w:color="000000"/>
            </w:tcBorders>
          </w:tcPr>
          <w:p w14:paraId="061F16F6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338" w:type="dxa"/>
            <w:tcBorders>
              <w:bottom w:val="double" w:sz="6" w:space="0" w:color="000000"/>
              <w:right w:val="single" w:sz="8" w:space="0" w:color="000000"/>
            </w:tcBorders>
          </w:tcPr>
          <w:p w14:paraId="71C08BD8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</w:tr>
      <w:tr w:rsidR="00B921D9" w14:paraId="225D2056" w14:textId="77777777">
        <w:tc>
          <w:tcPr>
            <w:tcW w:w="4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A1A0FD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56A9FD73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Badania kwalifikacyjne: sprawdzenie materiałów, ustalenie składu mieszanki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526D1911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raz na etapie projektowania składu mieszanki i przy każdej zmianie materiału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3E67776B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wg pkt. 2 i 5</w:t>
            </w:r>
          </w:p>
        </w:tc>
      </w:tr>
      <w:tr w:rsidR="00B921D9" w14:paraId="7A73146C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9AE3C43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5C4AB8F2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Badania w czasie robót</w:t>
            </w:r>
          </w:p>
          <w:p w14:paraId="39A5F741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rzędne podłoża gruntowego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2F0B3C33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 0,1 długości odbieranego odcinka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5D114439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wg 5.3.2</w:t>
            </w:r>
          </w:p>
        </w:tc>
      </w:tr>
      <w:tr w:rsidR="00B921D9" w14:paraId="706C6EF6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BE36BA5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4EA56EE2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zagęszczenie podłoża gruntowego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3B9BBB0E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 3 przekrojach na każdej działce roboczej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6063D197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wg 5.3.2</w:t>
            </w:r>
          </w:p>
        </w:tc>
      </w:tr>
      <w:tr w:rsidR="00B921D9" w14:paraId="2CE656EC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AE9BCCB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43FC811A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konsystencja mieszanki betonowej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48F1959E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 razy w czasie zmiany roboczej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770599B3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wg 2.2.9</w:t>
            </w:r>
          </w:p>
        </w:tc>
      </w:tr>
      <w:tr w:rsidR="00B921D9" w14:paraId="2209683D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1BA16EFB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1B2B6575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wytrzymałość betonu na ściskanie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6ADFFDE9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raz dziennie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2E1CCDA1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wg 2.2.9</w:t>
            </w:r>
          </w:p>
        </w:tc>
      </w:tr>
      <w:tr w:rsidR="00B921D9" w14:paraId="2CC6BBB2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5DF0C254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785BE601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zgodność ułożenia zbrojenia</w:t>
            </w:r>
          </w:p>
        </w:tc>
        <w:tc>
          <w:tcPr>
            <w:tcW w:w="3233" w:type="dxa"/>
            <w:tcBorders>
              <w:right w:val="single" w:sz="8" w:space="0" w:color="000000"/>
            </w:tcBorders>
          </w:tcPr>
          <w:p w14:paraId="7893BE3A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1/5 liczby płyt</w:t>
            </w:r>
          </w:p>
        </w:tc>
        <w:tc>
          <w:tcPr>
            <w:tcW w:w="2338" w:type="dxa"/>
            <w:tcBorders>
              <w:right w:val="single" w:sz="8" w:space="0" w:color="000000"/>
            </w:tcBorders>
          </w:tcPr>
          <w:p w14:paraId="56F5BFAA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wg dokumentacji projektowej</w:t>
            </w:r>
          </w:p>
        </w:tc>
      </w:tr>
      <w:tr w:rsidR="00B921D9" w14:paraId="3F714863" w14:textId="77777777">
        <w:tc>
          <w:tcPr>
            <w:tcW w:w="49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5F1B5475" w14:textId="77777777" w:rsidR="00B921D9" w:rsidRDefault="000B6E9F">
            <w:pPr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36840092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Badania odbiorcze po wykonaniu podbudowy</w:t>
            </w:r>
          </w:p>
          <w:p w14:paraId="0116A261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grubość podbudowy</w:t>
            </w:r>
          </w:p>
        </w:tc>
        <w:tc>
          <w:tcPr>
            <w:tcW w:w="3233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6025B3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raz na każde 2000m długości odbieranego</w:t>
            </w:r>
          </w:p>
          <w:p w14:paraId="6F932249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odcinka</w:t>
            </w:r>
          </w:p>
        </w:tc>
        <w:tc>
          <w:tcPr>
            <w:tcW w:w="2338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974327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odchyłka grubości</w:t>
            </w:r>
          </w:p>
          <w:p w14:paraId="17F81A18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± 1cm,</w:t>
            </w:r>
          </w:p>
          <w:p w14:paraId="240DC5FD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lastRenderedPageBreak/>
              <w:t>nasiąkliwość wg PN-S-96014:1997 i pkt. 2.2.9</w:t>
            </w:r>
          </w:p>
        </w:tc>
      </w:tr>
      <w:tr w:rsidR="00B921D9" w14:paraId="041B4B32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77F2D0C2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393F97AA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nasiąkliwość betonu w podbudowie</w:t>
            </w:r>
          </w:p>
        </w:tc>
        <w:tc>
          <w:tcPr>
            <w:tcW w:w="3233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AA31E4" w14:textId="77777777" w:rsidR="00B921D9" w:rsidRDefault="00B921D9"/>
        </w:tc>
        <w:tc>
          <w:tcPr>
            <w:tcW w:w="2338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748EF90" w14:textId="77777777" w:rsidR="00B921D9" w:rsidRDefault="00B921D9"/>
        </w:tc>
      </w:tr>
      <w:tr w:rsidR="00B921D9" w14:paraId="118E89A0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6207583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4648ECD8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mrozoodporność betonu w podbudowie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76B2F488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 próbkach badanej nasiąkliwości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4A5BEBFC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wg PN-S-96014</w:t>
            </w:r>
          </w:p>
          <w:p w14:paraId="4378EFA6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:1997</w:t>
            </w:r>
          </w:p>
        </w:tc>
      </w:tr>
      <w:tr w:rsidR="00B921D9" w14:paraId="6CD6B09A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24427C32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25A33F11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szerokość podbudowy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02B72BCC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 razy na 1 km</w:t>
            </w:r>
          </w:p>
          <w:p w14:paraId="4817E290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 raz na zatoce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575B83A8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odchyłka szerokości ± 5 cm</w:t>
            </w:r>
          </w:p>
        </w:tc>
      </w:tr>
      <w:tr w:rsidR="00B921D9" w14:paraId="569D4612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0341E55B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12088CA2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równość w przekroju poprzecznym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6D07DBA6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 razy na 1 km i w punktach głównych łuków poziomych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61825402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prześwity między łatą a powierzchnią</w:t>
            </w:r>
          </w:p>
          <w:p w14:paraId="5FDDAF5C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≤ 12mm</w:t>
            </w:r>
          </w:p>
        </w:tc>
      </w:tr>
      <w:tr w:rsidR="00B921D9" w14:paraId="11938A72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A95FEB9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1759E569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spadki poprzeczne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6EC2BDB1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jw.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3FF41341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odchylenia ± 0,5% spadków zaprojektowanych</w:t>
            </w:r>
          </w:p>
        </w:tc>
      </w:tr>
      <w:tr w:rsidR="00B921D9" w14:paraId="1A87076E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6432E51E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0F8CA876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rzędne wysokościowe podbudowy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2227744F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 0,1 długości odbieranego odcinka podbudowy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5EA5D270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odchylenie ± 10mm od rzędnych zaprojektowanych</w:t>
            </w:r>
          </w:p>
        </w:tc>
      </w:tr>
      <w:tr w:rsidR="00B921D9" w14:paraId="736A48E0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934BA49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06DB6C9F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- równość podbudowy w profilu podłużnym (badania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planografem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 lub łatą 4-metrową)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2AE2CB08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 dziesięciu miejscach na każde 1000 m długości odcinka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5993BF62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nierówności</w:t>
            </w:r>
          </w:p>
          <w:p w14:paraId="1421E566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≤ 12mm</w:t>
            </w:r>
          </w:p>
        </w:tc>
      </w:tr>
      <w:tr w:rsidR="00B921D9" w14:paraId="410ECA46" w14:textId="77777777">
        <w:tc>
          <w:tcPr>
            <w:tcW w:w="495" w:type="dxa"/>
            <w:tcBorders>
              <w:left w:val="single" w:sz="8" w:space="0" w:color="000000"/>
              <w:right w:val="single" w:sz="8" w:space="0" w:color="000000"/>
            </w:tcBorders>
          </w:tcPr>
          <w:p w14:paraId="4F7ABCE0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32ACAED3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ukształtowanie osi w planie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25BB9924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 25 m i punktach głównych łuku dla autostrad i dróg ekspresowych i co 100 m dla pozostałych dróg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28EEAE4E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odchylenie od osi zaprojektowanej</w:t>
            </w:r>
          </w:p>
          <w:p w14:paraId="67A1B0F6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≤ 3cm dla autostrad i dróg ekspresowych i 5cm dla pozostałych dróg</w:t>
            </w:r>
          </w:p>
        </w:tc>
      </w:tr>
      <w:tr w:rsidR="00B921D9" w14:paraId="3EF6672D" w14:textId="77777777">
        <w:tc>
          <w:tcPr>
            <w:tcW w:w="4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72B166" w14:textId="77777777" w:rsidR="00B921D9" w:rsidRDefault="00B921D9">
            <w:pPr>
              <w:jc w:val="center"/>
              <w:rPr>
                <w:rFonts w:ascii="Arial" w:hAnsi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bottom w:val="single" w:sz="8" w:space="0" w:color="000000"/>
              <w:right w:val="single" w:sz="8" w:space="0" w:color="000000"/>
            </w:tcBorders>
          </w:tcPr>
          <w:p w14:paraId="1E0C8B52" w14:textId="77777777" w:rsidR="00B921D9" w:rsidRDefault="000B6E9F">
            <w:pPr>
              <w:ind w:left="283" w:hanging="283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- rozmieszczenie i wypełnienie szczelin</w:t>
            </w:r>
          </w:p>
        </w:tc>
        <w:tc>
          <w:tcPr>
            <w:tcW w:w="3233" w:type="dxa"/>
            <w:tcBorders>
              <w:bottom w:val="single" w:sz="8" w:space="0" w:color="000000"/>
              <w:right w:val="single" w:sz="8" w:space="0" w:color="000000"/>
            </w:tcBorders>
          </w:tcPr>
          <w:p w14:paraId="6249869A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 dwóch miejscach losowo wybranych na każde 2000 m długości odcinka</w:t>
            </w:r>
          </w:p>
        </w:tc>
        <w:tc>
          <w:tcPr>
            <w:tcW w:w="2338" w:type="dxa"/>
            <w:tcBorders>
              <w:bottom w:val="single" w:sz="8" w:space="0" w:color="000000"/>
              <w:right w:val="single" w:sz="8" w:space="0" w:color="000000"/>
            </w:tcBorders>
          </w:tcPr>
          <w:p w14:paraId="39BDBC87" w14:textId="77777777" w:rsidR="00B921D9" w:rsidRDefault="000B6E9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oględziny zgodności z dokumentacją projektową</w:t>
            </w:r>
          </w:p>
        </w:tc>
      </w:tr>
    </w:tbl>
    <w:p w14:paraId="0DE104EA" w14:textId="77777777" w:rsidR="00B921D9" w:rsidRDefault="00B921D9"/>
    <w:p w14:paraId="0C863723" w14:textId="77777777" w:rsidR="00B921D9" w:rsidRDefault="000B6E9F">
      <w:pPr>
        <w:pStyle w:val="apunkt1"/>
      </w:pPr>
      <w:r>
        <w:t>OBMIAR ROBÓT</w:t>
      </w:r>
    </w:p>
    <w:p w14:paraId="13FE010D" w14:textId="77777777" w:rsidR="00B921D9" w:rsidRDefault="000B6E9F">
      <w:pPr>
        <w:pStyle w:val="apunkt11"/>
      </w:pPr>
      <w:r>
        <w:t>Ogólne zasady obmiaru robót</w:t>
      </w:r>
    </w:p>
    <w:p w14:paraId="127B0034" w14:textId="77777777" w:rsidR="00B921D9" w:rsidRDefault="000B6E9F">
      <w:pPr>
        <w:pStyle w:val="atre"/>
      </w:pPr>
      <w:r>
        <w:t>Ogólne zasady obmiaru robót podano w ST D-00.00.00 „Wymagania ogólne” pkt. 7.</w:t>
      </w:r>
    </w:p>
    <w:p w14:paraId="13C39260" w14:textId="77777777" w:rsidR="00B921D9" w:rsidRDefault="000B6E9F">
      <w:pPr>
        <w:pStyle w:val="apunkt11"/>
      </w:pPr>
      <w:r>
        <w:t>Jednostka obmiarowa</w:t>
      </w:r>
    </w:p>
    <w:p w14:paraId="50D32B4A" w14:textId="77777777" w:rsidR="00B921D9" w:rsidRDefault="000B6E9F">
      <w:pPr>
        <w:pStyle w:val="atre"/>
      </w:pPr>
      <w:r>
        <w:t>Jednostką obmiarową jest m2 (metr kwadratowy) wykonanej warstwy podbudowy z betonu cementowego.</w:t>
      </w:r>
    </w:p>
    <w:p w14:paraId="50309B7C" w14:textId="77777777" w:rsidR="00B921D9" w:rsidRDefault="000B6E9F">
      <w:pPr>
        <w:pStyle w:val="apunkt1"/>
      </w:pPr>
      <w:r>
        <w:t>ODBIÓR ROBÓT</w:t>
      </w:r>
    </w:p>
    <w:p w14:paraId="73C9C992" w14:textId="77777777" w:rsidR="00B921D9" w:rsidRDefault="000B6E9F">
      <w:pPr>
        <w:pStyle w:val="apunkt11"/>
      </w:pPr>
      <w:r>
        <w:t>Ogólne zasady odbioru robót</w:t>
      </w:r>
    </w:p>
    <w:p w14:paraId="1F46EAF7" w14:textId="77777777" w:rsidR="00B921D9" w:rsidRDefault="000B6E9F">
      <w:pPr>
        <w:pStyle w:val="atre"/>
      </w:pPr>
      <w:r>
        <w:t>Ogólne zasady odbioru robót podano w ST D-00.00.00 „Wymagania ogólne” pkt 8.</w:t>
      </w:r>
    </w:p>
    <w:p w14:paraId="7EB0C232" w14:textId="77777777" w:rsidR="00B921D9" w:rsidRDefault="000B6E9F">
      <w:pPr>
        <w:pStyle w:val="atre"/>
      </w:pPr>
      <w:r>
        <w:t>Roboty uznaje się za zgodne z Dokumentacją Projektową, SST i wymaganiami Inżyniera, jeżeli wszystkie pomiary i badania z zachowaniem tolerancji wg pkt 6 dały wyniki pozytywne.</w:t>
      </w:r>
    </w:p>
    <w:p w14:paraId="5E16E868" w14:textId="77777777" w:rsidR="00B921D9" w:rsidRDefault="000B6E9F">
      <w:pPr>
        <w:pStyle w:val="apunkt1"/>
      </w:pPr>
      <w:r>
        <w:t>PODSTAWA PŁATNOŚCI</w:t>
      </w:r>
    </w:p>
    <w:p w14:paraId="2FDEBB85" w14:textId="77777777" w:rsidR="00B921D9" w:rsidRDefault="000B6E9F">
      <w:pPr>
        <w:pStyle w:val="apunkt11"/>
      </w:pPr>
      <w:r>
        <w:t>Ogólne ustalenia dotyczące podstawy płatności</w:t>
      </w:r>
    </w:p>
    <w:p w14:paraId="0ECC99B6" w14:textId="77777777" w:rsidR="00B921D9" w:rsidRDefault="000B6E9F">
      <w:pPr>
        <w:pStyle w:val="atre"/>
      </w:pPr>
      <w:r>
        <w:t>Ogólne wymagania dotyczące płatności podano w ST D-00.00.00  „Wymagania ogólne”.</w:t>
      </w:r>
    </w:p>
    <w:p w14:paraId="5A319E07" w14:textId="77777777" w:rsidR="00B921D9" w:rsidRDefault="000B6E9F">
      <w:pPr>
        <w:pStyle w:val="apunkt11"/>
      </w:pPr>
      <w:r>
        <w:t>Cena wykonania robót obejmuje:</w:t>
      </w:r>
    </w:p>
    <w:p w14:paraId="3C885440" w14:textId="77777777" w:rsidR="00B921D9" w:rsidRDefault="000B6E9F">
      <w:pPr>
        <w:pStyle w:val="atre"/>
        <w:rPr>
          <w:iCs/>
          <w:szCs w:val="20"/>
        </w:rPr>
      </w:pPr>
      <w:r>
        <w:rPr>
          <w:iCs/>
          <w:szCs w:val="20"/>
        </w:rPr>
        <w:t>Cena wykonania 1 m2 warstwy z gruntu stabilizowanego cementem obejmuje:</w:t>
      </w:r>
    </w:p>
    <w:p w14:paraId="5514EFB1" w14:textId="77777777" w:rsidR="00B921D9" w:rsidRDefault="000B6E9F">
      <w:pPr>
        <w:pStyle w:val="atrepunktowanie"/>
      </w:pPr>
      <w:r>
        <w:t>prace pomiarowe i roboty przygotowawcze,</w:t>
      </w:r>
    </w:p>
    <w:p w14:paraId="1F3C4E57" w14:textId="77777777" w:rsidR="00B921D9" w:rsidRDefault="000B6E9F">
      <w:pPr>
        <w:pStyle w:val="atrepunktowanie"/>
      </w:pPr>
      <w:r>
        <w:lastRenderedPageBreak/>
        <w:t>oznakowanie robót,</w:t>
      </w:r>
    </w:p>
    <w:p w14:paraId="67962ECD" w14:textId="77777777" w:rsidR="00B921D9" w:rsidRDefault="000B6E9F">
      <w:pPr>
        <w:pStyle w:val="atrepunktowanie"/>
      </w:pPr>
      <w:r>
        <w:t>badania kruszywa,</w:t>
      </w:r>
    </w:p>
    <w:p w14:paraId="078E6E74" w14:textId="77777777" w:rsidR="00B921D9" w:rsidRDefault="000B6E9F">
      <w:pPr>
        <w:pStyle w:val="atrepunktowanie"/>
      </w:pPr>
      <w:r>
        <w:t>dostarczenie materiałów, wyprodukowanie mieszanki i jej transport na miejsce wbudowania,</w:t>
      </w:r>
    </w:p>
    <w:p w14:paraId="7E3014E7" w14:textId="77777777" w:rsidR="00B921D9" w:rsidRDefault="000B6E9F">
      <w:pPr>
        <w:pStyle w:val="atrepunktowanie"/>
      </w:pPr>
      <w:r>
        <w:t>dostarczenie, ustawienie, rozebranie i odwiezienie prowadnic oraz innych materiałów i urządzeń pomocniczych,</w:t>
      </w:r>
    </w:p>
    <w:p w14:paraId="159EEE09" w14:textId="77777777" w:rsidR="00B921D9" w:rsidRDefault="000B6E9F">
      <w:pPr>
        <w:pStyle w:val="atrepunktowanie"/>
      </w:pPr>
      <w:r>
        <w:t>rozłożenie i zagęszczenie mieszanki,</w:t>
      </w:r>
    </w:p>
    <w:p w14:paraId="0D1E9C86" w14:textId="77777777" w:rsidR="00B921D9" w:rsidRDefault="000B6E9F">
      <w:pPr>
        <w:pStyle w:val="atrepunktowanie"/>
      </w:pPr>
      <w:r>
        <w:t>pielęgnacja wykonanej warstwy</w:t>
      </w:r>
    </w:p>
    <w:p w14:paraId="6A677E91" w14:textId="77777777" w:rsidR="00B921D9" w:rsidRDefault="000B6E9F">
      <w:pPr>
        <w:pStyle w:val="atrepunktowanie"/>
      </w:pPr>
      <w:r>
        <w:t>przeprowadzenie pomiarów i badań laboratoryjnych, wymaganych w specyfikacji technicznej.</w:t>
      </w:r>
    </w:p>
    <w:p w14:paraId="1F6F823B" w14:textId="77777777" w:rsidR="00B921D9" w:rsidRDefault="000B6E9F">
      <w:pPr>
        <w:pStyle w:val="apunkt1"/>
      </w:pPr>
      <w:r>
        <w:t>PRZEPISY ZWIĄZANE</w:t>
      </w:r>
    </w:p>
    <w:p w14:paraId="13E3C716" w14:textId="77777777" w:rsidR="00B921D9" w:rsidRDefault="000B6E9F">
      <w:pPr>
        <w:pStyle w:val="atre"/>
      </w:pPr>
      <w:r>
        <w:t>Normy, wytyczne i instrukcje branżowe:</w:t>
      </w:r>
    </w:p>
    <w:p w14:paraId="24594C91" w14:textId="77777777" w:rsidR="00B921D9" w:rsidRDefault="000B6E9F">
      <w:pPr>
        <w:pStyle w:val="atrepunktowaniaabc"/>
        <w:numPr>
          <w:ilvl w:val="0"/>
          <w:numId w:val="2"/>
        </w:numPr>
      </w:pPr>
      <w:r>
        <w:t>PN-EN 197-1: 2002 Cement. Część I: Skład, wymagania i kryteria zgodności dotyczące cementu powszechnego użytku</w:t>
      </w:r>
    </w:p>
    <w:p w14:paraId="10DB2BA6" w14:textId="77777777" w:rsidR="00B921D9" w:rsidRDefault="000B6E9F">
      <w:pPr>
        <w:pStyle w:val="atrepunktowaniaabc"/>
        <w:numPr>
          <w:ilvl w:val="0"/>
          <w:numId w:val="2"/>
        </w:numPr>
      </w:pPr>
      <w:r>
        <w:t>PN-EN 934-2: 1999 Domieszki do betonu, zaprawy i zaczynu. Domieszki do betonu. Definicje i wymagania</w:t>
      </w:r>
    </w:p>
    <w:p w14:paraId="43263208" w14:textId="77777777" w:rsidR="00B921D9" w:rsidRDefault="000B6E9F">
      <w:pPr>
        <w:pStyle w:val="atrepunktowaniaabc"/>
        <w:numPr>
          <w:ilvl w:val="0"/>
          <w:numId w:val="2"/>
        </w:numPr>
      </w:pPr>
      <w:r>
        <w:t>PN-S-96014:1997 Drogi samochodowe i lotniskowe. Podbudowa z betonu cementowego pod nawierzchnię ulepszoną. Wymagania i badania</w:t>
      </w:r>
    </w:p>
    <w:p w14:paraId="2B5A359F" w14:textId="77777777" w:rsidR="00B921D9" w:rsidRDefault="000B6E9F">
      <w:pPr>
        <w:pStyle w:val="atrepunktowaniaabc"/>
        <w:numPr>
          <w:ilvl w:val="0"/>
          <w:numId w:val="2"/>
        </w:numPr>
      </w:pPr>
      <w:r>
        <w:t>PN-EN 12390-3;2011 Wytrzymałość na ściskanie próbek do badań</w:t>
      </w:r>
    </w:p>
    <w:p w14:paraId="3EC7F100" w14:textId="77777777" w:rsidR="00B921D9" w:rsidRDefault="000B6E9F">
      <w:pPr>
        <w:pStyle w:val="atrepunktowaniaabc"/>
        <w:numPr>
          <w:ilvl w:val="0"/>
          <w:numId w:val="2"/>
        </w:numPr>
      </w:pPr>
      <w:r>
        <w:t>PN-EN 206-1 Beton, Część1: Wymagania, właściwości, produkcja i zgodność</w:t>
      </w:r>
    </w:p>
    <w:p w14:paraId="1775577B" w14:textId="77777777" w:rsidR="00B921D9" w:rsidRDefault="00B921D9">
      <w:pPr>
        <w:pStyle w:val="atrepunktowaniaabc"/>
        <w:numPr>
          <w:ilvl w:val="0"/>
          <w:numId w:val="0"/>
        </w:numPr>
        <w:ind w:firstLine="340"/>
      </w:pPr>
    </w:p>
    <w:p w14:paraId="0BA9D24B" w14:textId="77777777" w:rsidR="00B921D9" w:rsidRDefault="00B921D9">
      <w:pPr>
        <w:pStyle w:val="atrepunktowaniaabc"/>
        <w:numPr>
          <w:ilvl w:val="0"/>
          <w:numId w:val="0"/>
        </w:numPr>
        <w:ind w:firstLine="340"/>
      </w:pPr>
    </w:p>
    <w:p w14:paraId="0CF53B1A" w14:textId="77777777" w:rsidR="00B921D9" w:rsidRDefault="000B6E9F">
      <w:pPr>
        <w:pStyle w:val="atre"/>
      </w:pPr>
      <w:r>
        <w:t>Inne dokumenty</w:t>
      </w:r>
    </w:p>
    <w:p w14:paraId="36E8FC3C" w14:textId="77777777" w:rsidR="00B921D9" w:rsidRDefault="000B6E9F">
      <w:pPr>
        <w:pStyle w:val="atrepunktowaniaabc"/>
        <w:numPr>
          <w:ilvl w:val="0"/>
          <w:numId w:val="2"/>
        </w:numPr>
      </w:pPr>
      <w:r>
        <w:t xml:space="preserve">Katalog typowych konstrukcji nawierzchni sztywnych. GDDP - </w:t>
      </w:r>
      <w:proofErr w:type="spellStart"/>
      <w:r>
        <w:t>IBDiM</w:t>
      </w:r>
      <w:proofErr w:type="spellEnd"/>
      <w:r>
        <w:t>, Warszawa 2001</w:t>
      </w:r>
    </w:p>
    <w:p w14:paraId="23214E95" w14:textId="77777777" w:rsidR="00B921D9" w:rsidRDefault="000B6E9F">
      <w:pPr>
        <w:pStyle w:val="apunkt1"/>
      </w:pPr>
      <w:r>
        <w:t>ZAŁĄCZNIK 1</w:t>
      </w:r>
    </w:p>
    <w:p w14:paraId="4FD07A3A" w14:textId="77777777" w:rsidR="00B921D9" w:rsidRDefault="00B921D9">
      <w:pPr>
        <w:jc w:val="both"/>
        <w:rPr>
          <w:rFonts w:ascii="Arial" w:hAnsi="Arial"/>
          <w:b/>
          <w:bCs/>
          <w:sz w:val="20"/>
          <w:szCs w:val="20"/>
        </w:rPr>
      </w:pPr>
    </w:p>
    <w:p w14:paraId="0BEDE395" w14:textId="77777777" w:rsidR="00B921D9" w:rsidRDefault="000B6E9F">
      <w:pPr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ZASADY  WYKONYWANIA  PODBUDOWY</w:t>
      </w:r>
    </w:p>
    <w:p w14:paraId="40407CCF" w14:textId="77777777" w:rsidR="00B921D9" w:rsidRDefault="000B6E9F">
      <w:pPr>
        <w:jc w:val="both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Z  BETONU  CEMENTOWEGO</w:t>
      </w:r>
    </w:p>
    <w:p w14:paraId="0500D517" w14:textId="77777777" w:rsidR="00B921D9" w:rsidRDefault="000B6E9F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(W. Dębski: Mały poradnik drogowca, </w:t>
      </w:r>
      <w:proofErr w:type="spellStart"/>
      <w:r>
        <w:rPr>
          <w:rFonts w:ascii="Arial" w:hAnsi="Arial"/>
          <w:sz w:val="20"/>
          <w:szCs w:val="20"/>
        </w:rPr>
        <w:t>WKiŁ</w:t>
      </w:r>
      <w:proofErr w:type="spellEnd"/>
      <w:r>
        <w:rPr>
          <w:rFonts w:ascii="Arial" w:hAnsi="Arial"/>
          <w:sz w:val="20"/>
          <w:szCs w:val="20"/>
        </w:rPr>
        <w:t xml:space="preserve"> 1974 </w:t>
      </w:r>
    </w:p>
    <w:p w14:paraId="0BFB7633" w14:textId="77777777" w:rsidR="00B921D9" w:rsidRDefault="000B6E9F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 E. </w:t>
      </w:r>
      <w:proofErr w:type="spellStart"/>
      <w:r>
        <w:rPr>
          <w:rFonts w:ascii="Arial" w:hAnsi="Arial"/>
          <w:sz w:val="20"/>
          <w:szCs w:val="20"/>
        </w:rPr>
        <w:t>Skaldawski</w:t>
      </w:r>
      <w:proofErr w:type="spellEnd"/>
      <w:r>
        <w:rPr>
          <w:rFonts w:ascii="Arial" w:hAnsi="Arial"/>
          <w:sz w:val="20"/>
          <w:szCs w:val="20"/>
        </w:rPr>
        <w:t xml:space="preserve">: Podbudowy nawierzchni drogowych, </w:t>
      </w:r>
      <w:proofErr w:type="spellStart"/>
      <w:r>
        <w:rPr>
          <w:rFonts w:ascii="Arial" w:hAnsi="Arial"/>
          <w:sz w:val="20"/>
          <w:szCs w:val="20"/>
        </w:rPr>
        <w:t>WKiŁ</w:t>
      </w:r>
      <w:proofErr w:type="spellEnd"/>
      <w:r>
        <w:rPr>
          <w:rFonts w:ascii="Arial" w:hAnsi="Arial"/>
          <w:sz w:val="20"/>
          <w:szCs w:val="20"/>
        </w:rPr>
        <w:t xml:space="preserve"> 1979, </w:t>
      </w:r>
    </w:p>
    <w:p w14:paraId="48F247C3" w14:textId="77777777" w:rsidR="00B921D9" w:rsidRDefault="000B6E9F">
      <w:pPr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S. </w:t>
      </w:r>
      <w:proofErr w:type="spellStart"/>
      <w:r>
        <w:rPr>
          <w:rFonts w:ascii="Arial" w:hAnsi="Arial"/>
          <w:sz w:val="20"/>
          <w:szCs w:val="20"/>
        </w:rPr>
        <w:t>Rolla</w:t>
      </w:r>
      <w:proofErr w:type="spellEnd"/>
      <w:r>
        <w:rPr>
          <w:rFonts w:ascii="Arial" w:hAnsi="Arial"/>
          <w:sz w:val="20"/>
          <w:szCs w:val="20"/>
        </w:rPr>
        <w:t xml:space="preserve">: Kontrola techniczno-ekonomiczna robót drogowych, </w:t>
      </w:r>
      <w:proofErr w:type="spellStart"/>
      <w:r>
        <w:rPr>
          <w:rFonts w:ascii="Arial" w:hAnsi="Arial"/>
          <w:sz w:val="20"/>
          <w:szCs w:val="20"/>
        </w:rPr>
        <w:t>WKiŁ</w:t>
      </w:r>
      <w:proofErr w:type="spellEnd"/>
      <w:r>
        <w:rPr>
          <w:rFonts w:ascii="Arial" w:hAnsi="Arial"/>
          <w:sz w:val="20"/>
          <w:szCs w:val="20"/>
        </w:rPr>
        <w:t xml:space="preserve"> 1967)</w:t>
      </w:r>
    </w:p>
    <w:p w14:paraId="11B7D763" w14:textId="77777777" w:rsidR="00B921D9" w:rsidRDefault="000B6E9F">
      <w:pPr>
        <w:pStyle w:val="apunkt11"/>
      </w:pPr>
      <w:r>
        <w:t>Cechy podbudowy</w:t>
      </w:r>
    </w:p>
    <w:p w14:paraId="54CEB8BF" w14:textId="77777777" w:rsidR="00B921D9" w:rsidRDefault="000B6E9F">
      <w:pPr>
        <w:pStyle w:val="atre"/>
      </w:pPr>
      <w:r>
        <w:t>Podbudowa z betonu cementowego należy do konstrukcji sztywnych. Ziarna kruszywa po związaniu cementu i stwardnieniu betonu są tak silnie ze sobą spojone, że ich żadne wzajemne przesunięcia nie są możliwe. W związku z tym, podbudowa z betonu cementowego rozkłada ciśnienie na duże powierzchnie i może być stosowana na słabszym, o małej nośności podłożu.</w:t>
      </w:r>
    </w:p>
    <w:p w14:paraId="199251AE" w14:textId="77777777" w:rsidR="00B921D9" w:rsidRDefault="000B6E9F">
      <w:pPr>
        <w:pStyle w:val="atre"/>
      </w:pPr>
      <w:r>
        <w:t>Podbudowę z betonu cementowego stosuje się zwykle do wykonania warstwy (lub warstw) nośnych nawierzchni o ruchu ciężkim oraz przy wykonywaniu podbudów pod nawierzchnię parkingów i placów postojowych.</w:t>
      </w:r>
    </w:p>
    <w:p w14:paraId="1D542EF8" w14:textId="77777777" w:rsidR="00B921D9" w:rsidRDefault="000B6E9F">
      <w:pPr>
        <w:pStyle w:val="apunkt11"/>
      </w:pPr>
      <w:r>
        <w:t>Klasa betonu</w:t>
      </w:r>
    </w:p>
    <w:p w14:paraId="419AA0C2" w14:textId="77777777" w:rsidR="00B921D9" w:rsidRDefault="000B6E9F">
      <w:pPr>
        <w:pStyle w:val="atre"/>
      </w:pPr>
      <w:r>
        <w:t>W podbudowie zaleca się stosować beton o wytrzymałości odpowiadającej klasie C16/20, a w przypadkach szczególnych można stosować beton o klasie wyższej.</w:t>
      </w:r>
    </w:p>
    <w:p w14:paraId="641602F3" w14:textId="77777777" w:rsidR="00B921D9" w:rsidRDefault="000B6E9F">
      <w:pPr>
        <w:pStyle w:val="atre"/>
      </w:pPr>
      <w:r>
        <w:t>Mieszankę betonową wytwarza się z kruszywa naturalnego, łamanego kamiennego i żużlowego lub mieszaniny tych rodzajów kruszyw, cementu i wody. Skład mieszanki betonowej może być różny w dość szerokich granicach, zależnie od rodzaju kruszywa, klasy cementu i żądanej konsystencji.</w:t>
      </w:r>
    </w:p>
    <w:p w14:paraId="3B7C0144" w14:textId="77777777" w:rsidR="00B921D9" w:rsidRDefault="000B6E9F">
      <w:pPr>
        <w:pStyle w:val="atre"/>
      </w:pPr>
      <w:r>
        <w:t xml:space="preserve">Orientacyjny skład mieszanki betonowej klasy C16/20 na podbudowę o konsystencji </w:t>
      </w:r>
      <w:proofErr w:type="spellStart"/>
      <w:r>
        <w:t>gęstoplastycznej</w:t>
      </w:r>
      <w:proofErr w:type="spellEnd"/>
      <w:r>
        <w:t>.</w:t>
      </w:r>
    </w:p>
    <w:p w14:paraId="4CF02CB0" w14:textId="77777777" w:rsidR="00B921D9" w:rsidRDefault="00B921D9" w:rsidP="0089290E">
      <w:pPr>
        <w:pStyle w:val="atre"/>
        <w:ind w:firstLine="0"/>
      </w:pPr>
    </w:p>
    <w:tbl>
      <w:tblPr>
        <w:tblW w:w="7508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5"/>
        <w:gridCol w:w="2975"/>
        <w:gridCol w:w="1701"/>
        <w:gridCol w:w="2337"/>
      </w:tblGrid>
      <w:tr w:rsidR="00B921D9" w14:paraId="6A64C54A" w14:textId="77777777">
        <w:trPr>
          <w:jc w:val="center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4EF38D9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29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64BFA9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Rodzaj materiału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19A6A3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Jednostka</w:t>
            </w:r>
          </w:p>
        </w:tc>
        <w:tc>
          <w:tcPr>
            <w:tcW w:w="233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1A98CC" w14:textId="77777777" w:rsidR="00B921D9" w:rsidRDefault="000B6E9F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Zawartość w 1 m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 xml:space="preserve"> mieszanki betonowej</w:t>
            </w:r>
          </w:p>
        </w:tc>
      </w:tr>
      <w:tr w:rsidR="00B921D9" w14:paraId="4FB9D010" w14:textId="77777777">
        <w:trPr>
          <w:jc w:val="center"/>
        </w:trPr>
        <w:tc>
          <w:tcPr>
            <w:tcW w:w="4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6F19966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1.</w:t>
            </w:r>
          </w:p>
          <w:p w14:paraId="6D96BF02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2.</w:t>
            </w:r>
          </w:p>
          <w:p w14:paraId="4B2AB194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3.</w:t>
            </w:r>
          </w:p>
        </w:tc>
        <w:tc>
          <w:tcPr>
            <w:tcW w:w="2975" w:type="dxa"/>
            <w:tcBorders>
              <w:bottom w:val="single" w:sz="8" w:space="0" w:color="000000"/>
              <w:right w:val="single" w:sz="8" w:space="0" w:color="000000"/>
            </w:tcBorders>
          </w:tcPr>
          <w:p w14:paraId="3FEB4C5D" w14:textId="77777777" w:rsidR="00B921D9" w:rsidRDefault="000B6E9F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Cement portlandzki klasy 32,5</w:t>
            </w:r>
          </w:p>
          <w:p w14:paraId="40DD5E35" w14:textId="77777777" w:rsidR="00B921D9" w:rsidRDefault="000B6E9F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Kruszywo</w:t>
            </w:r>
          </w:p>
          <w:p w14:paraId="0773E99B" w14:textId="77777777" w:rsidR="00B921D9" w:rsidRDefault="000B6E9F">
            <w:pPr>
              <w:jc w:val="both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Woda</w:t>
            </w:r>
          </w:p>
        </w:tc>
        <w:tc>
          <w:tcPr>
            <w:tcW w:w="1701" w:type="dxa"/>
            <w:tcBorders>
              <w:bottom w:val="single" w:sz="8" w:space="0" w:color="000000"/>
              <w:right w:val="single" w:sz="8" w:space="0" w:color="000000"/>
            </w:tcBorders>
          </w:tcPr>
          <w:p w14:paraId="04D58454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</w:t>
            </w:r>
          </w:p>
          <w:p w14:paraId="0E4233A8" w14:textId="77777777" w:rsidR="00B921D9" w:rsidRDefault="000B6E9F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m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  <w:p w14:paraId="1CC45CCB" w14:textId="77777777" w:rsidR="00B921D9" w:rsidRDefault="000B6E9F">
            <w:pPr>
              <w:jc w:val="center"/>
            </w:pPr>
            <w:r>
              <w:rPr>
                <w:rFonts w:ascii="Arial" w:hAnsi="Arial"/>
                <w:sz w:val="18"/>
                <w:szCs w:val="18"/>
              </w:rPr>
              <w:t>m</w: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337" w:type="dxa"/>
            <w:tcBorders>
              <w:bottom w:val="single" w:sz="8" w:space="0" w:color="000000"/>
              <w:right w:val="single" w:sz="8" w:space="0" w:color="000000"/>
            </w:tcBorders>
          </w:tcPr>
          <w:p w14:paraId="3428AA65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0,23 ; 0,35</w:t>
            </w:r>
          </w:p>
          <w:p w14:paraId="171DA595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0,70 ; 1,30</w:t>
            </w:r>
          </w:p>
          <w:p w14:paraId="67660424" w14:textId="77777777" w:rsidR="00B921D9" w:rsidRDefault="000B6E9F">
            <w:pPr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0,15 ; 0,25</w:t>
            </w:r>
          </w:p>
        </w:tc>
      </w:tr>
    </w:tbl>
    <w:p w14:paraId="266FE0BD" w14:textId="77777777" w:rsidR="00B921D9" w:rsidRDefault="000B6E9F">
      <w:pPr>
        <w:pStyle w:val="apunkt11"/>
      </w:pPr>
      <w:r>
        <w:lastRenderedPageBreak/>
        <w:t>Szczeliny w podbudowie</w:t>
      </w:r>
    </w:p>
    <w:p w14:paraId="2D0D6DDB" w14:textId="77777777" w:rsidR="00B921D9" w:rsidRDefault="000B6E9F">
      <w:pPr>
        <w:pStyle w:val="atre"/>
      </w:pPr>
      <w:r>
        <w:t>Szczeliny powinny dzielić podbudowę na płyty kwadratowe lub prostokątne. Stosunek długości płyt do ich szerokości nie powinien być większy niż 1,5 : 1. Odstęp między szczelinami może wynosić 5 ¸ 6m, z tym że między szczelinami poprzecznymi nie powinien być większy niż 6m.</w:t>
      </w:r>
    </w:p>
    <w:p w14:paraId="773C3110" w14:textId="77777777" w:rsidR="00B921D9" w:rsidRDefault="000B6E9F">
      <w:pPr>
        <w:pStyle w:val="atre"/>
      </w:pPr>
      <w:r>
        <w:t>W podbudowie betonowej wykonuje się tylko szczeliny skurczowe pełne i szczeliny skurczowe pozorne. Pełne szczeliny skurczowe wykonuje się na styku świeżo układanych płyt z płytami już poprzednio wykonanymi, szczeliny skurczowe pozorne - pomiędzy płytami układanymi w tym samym czasie. Mogą występować też szczeliny konstrukcyjne, wykonywane na całej wysokości przekroju płyty w miejscach połączeń podbudowy z elementami infrastruktury drogowej, takimi jak: krawężniki, studzienki kanalizacyjne, telefoniczne lub energetyczne. W osi podbudowy szerszej niż 6 m wykonuje się zwykle szczelinę podłużną.</w:t>
      </w:r>
    </w:p>
    <w:p w14:paraId="5B333017" w14:textId="77777777" w:rsidR="00B921D9" w:rsidRDefault="000B6E9F">
      <w:pPr>
        <w:pStyle w:val="atre"/>
      </w:pPr>
      <w:r>
        <w:t>Przy przewidywanym przykryciu podbudowy asfaltową warstwą ścieralną nie zaleca się wypełniać szczelin masą zalewową, gdyż rozmiękną one w czasie rozkładania mieszanki asfaltowej jezdni i zostaną uszkodzone już w czasie wałowania warstwy.</w:t>
      </w:r>
    </w:p>
    <w:p w14:paraId="55C8D72B" w14:textId="77777777" w:rsidR="00B921D9" w:rsidRDefault="000B6E9F">
      <w:pPr>
        <w:pStyle w:val="atre"/>
      </w:pPr>
      <w:r>
        <w:t xml:space="preserve">Przykłady konstrukcji szczelin przedstawiono na rysunku 1.1. </w:t>
      </w:r>
    </w:p>
    <w:p w14:paraId="14F36D48" w14:textId="77777777" w:rsidR="00B921D9" w:rsidRDefault="00B921D9">
      <w:pPr>
        <w:pStyle w:val="atre"/>
      </w:pPr>
    </w:p>
    <w:p w14:paraId="59B422C5" w14:textId="77777777" w:rsidR="00B921D9" w:rsidRDefault="000B6E9F">
      <w:pPr>
        <w:pStyle w:val="atre"/>
      </w:pPr>
      <w:r>
        <w:t xml:space="preserve">Rys. 1.1. Przykłady konstrukcji szczelin w podbudowie z betonu cementowego </w:t>
      </w:r>
    </w:p>
    <w:p w14:paraId="6EA6C192" w14:textId="77777777" w:rsidR="00B921D9" w:rsidRDefault="000B6E9F">
      <w:pPr>
        <w:pStyle w:val="atre"/>
      </w:pPr>
      <w:r>
        <w:t>(wymiary w cm)</w:t>
      </w:r>
    </w:p>
    <w:p w14:paraId="0E5CEE5C" w14:textId="77777777" w:rsidR="00B921D9" w:rsidRDefault="00B921D9">
      <w:pPr>
        <w:pStyle w:val="atre"/>
      </w:pPr>
    </w:p>
    <w:p w14:paraId="1E30FDB1" w14:textId="77777777" w:rsidR="00B921D9" w:rsidRDefault="000B6E9F">
      <w:pPr>
        <w:pStyle w:val="atre"/>
      </w:pPr>
      <w:r>
        <w:t>Szczelina skurczowa pełna</w:t>
      </w:r>
    </w:p>
    <w:p w14:paraId="5881209A" w14:textId="77777777" w:rsidR="00B921D9" w:rsidRDefault="000B6E9F">
      <w:pPr>
        <w:ind w:left="709"/>
        <w:jc w:val="both"/>
      </w:pPr>
      <w:r>
        <w:rPr>
          <w:noProof/>
        </w:rPr>
        <w:drawing>
          <wp:inline distT="0" distB="0" distL="0" distR="0" wp14:anchorId="7A5C54FA" wp14:editId="4334FAB9">
            <wp:extent cx="2689860" cy="1028700"/>
            <wp:effectExtent l="0" t="0" r="0" b="0"/>
            <wp:docPr id="1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986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CCA1B6" w14:textId="77777777" w:rsidR="00B921D9" w:rsidRDefault="000B6E9F">
      <w:pPr>
        <w:ind w:left="709"/>
        <w:jc w:val="both"/>
        <w:rPr>
          <w:rFonts w:ascii="Arial" w:hAnsi="Arial"/>
        </w:rPr>
      </w:pPr>
      <w:r>
        <w:rPr>
          <w:rFonts w:ascii="Arial" w:hAnsi="Arial"/>
        </w:rPr>
        <w:t> </w:t>
      </w:r>
    </w:p>
    <w:p w14:paraId="0164C74B" w14:textId="77777777" w:rsidR="00B921D9" w:rsidRDefault="000B6E9F">
      <w:pPr>
        <w:pStyle w:val="atre"/>
      </w:pPr>
      <w:r>
        <w:t>Szczelina skurczowa pozorna</w:t>
      </w:r>
    </w:p>
    <w:p w14:paraId="123E4B9C" w14:textId="77777777" w:rsidR="00B921D9" w:rsidRDefault="000B6E9F">
      <w:pPr>
        <w:ind w:left="709"/>
        <w:jc w:val="both"/>
      </w:pPr>
      <w:r>
        <w:rPr>
          <w:noProof/>
        </w:rPr>
        <w:drawing>
          <wp:inline distT="0" distB="0" distL="0" distR="0" wp14:anchorId="62836771" wp14:editId="66244AE4">
            <wp:extent cx="2865120" cy="108204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75E76" w14:textId="77777777" w:rsidR="00B921D9" w:rsidRDefault="000B6E9F">
      <w:pPr>
        <w:ind w:left="709"/>
        <w:jc w:val="both"/>
        <w:rPr>
          <w:rFonts w:ascii="Arial" w:hAnsi="Arial"/>
        </w:rPr>
      </w:pPr>
      <w:r>
        <w:rPr>
          <w:rFonts w:ascii="Arial" w:hAnsi="Arial"/>
        </w:rPr>
        <w:t> </w:t>
      </w:r>
    </w:p>
    <w:p w14:paraId="191FC274" w14:textId="77777777" w:rsidR="00B921D9" w:rsidRDefault="000B6E9F">
      <w:pPr>
        <w:pStyle w:val="atre"/>
      </w:pPr>
      <w:r>
        <w:t>Szczelina przy krawężniku</w:t>
      </w:r>
    </w:p>
    <w:p w14:paraId="72739575" w14:textId="77777777" w:rsidR="00B921D9" w:rsidRDefault="000B6E9F">
      <w:pPr>
        <w:ind w:left="709"/>
        <w:jc w:val="both"/>
      </w:pPr>
      <w:r>
        <w:rPr>
          <w:noProof/>
        </w:rPr>
        <w:drawing>
          <wp:inline distT="0" distB="0" distL="0" distR="0" wp14:anchorId="1959FBCD" wp14:editId="2C1D9B53">
            <wp:extent cx="2621280" cy="1272540"/>
            <wp:effectExtent l="0" t="0" r="0" b="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127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39A7FB" w14:textId="77777777" w:rsidR="00B921D9" w:rsidRDefault="00B921D9">
      <w:pPr>
        <w:ind w:left="709"/>
        <w:jc w:val="both"/>
      </w:pPr>
    </w:p>
    <w:p w14:paraId="59EE3966" w14:textId="77777777" w:rsidR="00B921D9" w:rsidRDefault="00B921D9">
      <w:pPr>
        <w:pStyle w:val="atrepunktowaniaabc"/>
        <w:numPr>
          <w:ilvl w:val="0"/>
          <w:numId w:val="0"/>
        </w:numPr>
        <w:ind w:firstLine="340"/>
      </w:pPr>
    </w:p>
    <w:p w14:paraId="231CE981" w14:textId="77777777" w:rsidR="00B921D9" w:rsidRDefault="00B921D9">
      <w:pPr>
        <w:pStyle w:val="atrepunktowaniaabc"/>
        <w:numPr>
          <w:ilvl w:val="0"/>
          <w:numId w:val="0"/>
        </w:numPr>
        <w:ind w:firstLine="340"/>
      </w:pPr>
    </w:p>
    <w:p w14:paraId="2736BF79" w14:textId="77777777" w:rsidR="00B921D9" w:rsidRDefault="00B921D9">
      <w:pPr>
        <w:pStyle w:val="atrepunktowaniaabc"/>
        <w:numPr>
          <w:ilvl w:val="0"/>
          <w:numId w:val="0"/>
        </w:numPr>
        <w:ind w:firstLine="340"/>
      </w:pPr>
    </w:p>
    <w:sectPr w:rsidR="00B921D9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E46F29" w14:textId="77777777" w:rsidR="00A80E53" w:rsidRDefault="00A80E53">
      <w:r>
        <w:separator/>
      </w:r>
    </w:p>
  </w:endnote>
  <w:endnote w:type="continuationSeparator" w:id="0">
    <w:p w14:paraId="05B59A9F" w14:textId="77777777" w:rsidR="00A80E53" w:rsidRDefault="00A80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1FD0F5" w14:textId="77777777" w:rsidR="00B921D9" w:rsidRDefault="000B6E9F" w:rsidP="0089290E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10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         D-04.06.02   Podbudowa z betonu cementowego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18AB6" w14:textId="77777777" w:rsidR="00B921D9" w:rsidRDefault="000B6E9F" w:rsidP="0089290E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D-04.06.02  Podbudowa z betonu cementowego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9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DF6BC" w14:textId="77777777" w:rsidR="00A80E53" w:rsidRDefault="00A80E53">
      <w:r>
        <w:separator/>
      </w:r>
    </w:p>
  </w:footnote>
  <w:footnote w:type="continuationSeparator" w:id="0">
    <w:p w14:paraId="70C00A34" w14:textId="77777777" w:rsidR="00A80E53" w:rsidRDefault="00A80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0C0B1B" w14:textId="15E00FC7" w:rsidR="00B921D9" w:rsidRDefault="000B49E1" w:rsidP="00514BB5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0B49E1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465EA" w14:textId="4A0BC495" w:rsidR="00B921D9" w:rsidRDefault="000B49E1" w:rsidP="00514BB5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0B49E1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1552F"/>
    <w:multiLevelType w:val="multilevel"/>
    <w:tmpl w:val="7116BD62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1" w15:restartNumberingAfterBreak="0">
    <w:nsid w:val="40843B34"/>
    <w:multiLevelType w:val="multilevel"/>
    <w:tmpl w:val="FAA4F260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2" w15:restartNumberingAfterBreak="0">
    <w:nsid w:val="6F9C106E"/>
    <w:multiLevelType w:val="multilevel"/>
    <w:tmpl w:val="DCE27800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77A636D"/>
    <w:multiLevelType w:val="multilevel"/>
    <w:tmpl w:val="2EB42E24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num w:numId="1" w16cid:durableId="2069766920">
    <w:abstractNumId w:val="2"/>
  </w:num>
  <w:num w:numId="2" w16cid:durableId="272984606">
    <w:abstractNumId w:val="0"/>
  </w:num>
  <w:num w:numId="3" w16cid:durableId="2007441255">
    <w:abstractNumId w:val="3"/>
  </w:num>
  <w:num w:numId="4" w16cid:durableId="1127502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1D9"/>
    <w:rsid w:val="000B49E1"/>
    <w:rsid w:val="000B6E9F"/>
    <w:rsid w:val="00487271"/>
    <w:rsid w:val="00514BB5"/>
    <w:rsid w:val="006724E2"/>
    <w:rsid w:val="0089290E"/>
    <w:rsid w:val="00A80E53"/>
    <w:rsid w:val="00B921D9"/>
    <w:rsid w:val="00BD66CF"/>
    <w:rsid w:val="00EE1DA6"/>
    <w:rsid w:val="00F23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4FF70C"/>
  <w15:docId w15:val="{CA591084-06A9-4E3D-B2B8-1716F3868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character" w:customStyle="1" w:styleId="WW8Num25z0">
    <w:name w:val="WW8Num25z0"/>
    <w:qFormat/>
  </w:style>
  <w:style w:type="character" w:customStyle="1" w:styleId="WW8NumSt33z0">
    <w:name w:val="WW8NumSt33z0"/>
    <w:qFormat/>
    <w:rPr>
      <w:rFonts w:ascii="Symbol" w:hAnsi="Symbol" w:cs="Symbol"/>
      <w:sz w:val="20"/>
      <w:szCs w:val="20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  <w:style w:type="numbering" w:customStyle="1" w:styleId="WW8Num25">
    <w:name w:val="WW8Num2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10</Pages>
  <Words>3495</Words>
  <Characters>20970</Characters>
  <Application>Microsoft Office Word</Application>
  <DocSecurity>0</DocSecurity>
  <Lines>174</Lines>
  <Paragraphs>48</Paragraphs>
  <ScaleCrop>false</ScaleCrop>
  <Company/>
  <LinksUpToDate>false</LinksUpToDate>
  <CharactersWithSpaces>24417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95</cp:revision>
  <cp:lastPrinted>2020-09-13T14:31:00Z</cp:lastPrinted>
  <dcterms:created xsi:type="dcterms:W3CDTF">2020-01-08T23:14:00Z</dcterms:created>
  <dcterms:modified xsi:type="dcterms:W3CDTF">2022-12-03T20:06:00Z</dcterms:modified>
  <dc:language>pl-PL</dc:language>
</cp:coreProperties>
</file>