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328C56" w14:textId="1A3E55E0" w:rsidR="00B00FC0" w:rsidRDefault="00B00FC0" w:rsidP="00B00FC0">
      <w:pPr>
        <w:pStyle w:val="apunkt1"/>
        <w:numPr>
          <w:ilvl w:val="0"/>
          <w:numId w:val="0"/>
        </w:numPr>
        <w:rPr>
          <w:sz w:val="24"/>
        </w:rPr>
      </w:pPr>
      <w:r w:rsidRPr="00B00FC0">
        <w:rPr>
          <w:sz w:val="24"/>
        </w:rPr>
        <w:t>SST Przebudowa wodociągu</w:t>
      </w:r>
    </w:p>
    <w:p w14:paraId="4EFE3728" w14:textId="2FF3BD06" w:rsidR="00B00FC0" w:rsidRDefault="00B00FC0" w:rsidP="00B00FC0">
      <w:pPr>
        <w:pStyle w:val="apunkt1"/>
      </w:pPr>
      <w:r>
        <w:t>WSTĘP</w:t>
      </w:r>
    </w:p>
    <w:p w14:paraId="5EBC36D7" w14:textId="77777777" w:rsidR="00B00FC0" w:rsidRDefault="00B00FC0" w:rsidP="00B00FC0">
      <w:pPr>
        <w:pStyle w:val="apunkt11"/>
      </w:pPr>
      <w:r>
        <w:t>Przedmiot Specyfikacji Technicznej</w:t>
      </w:r>
    </w:p>
    <w:p w14:paraId="7590C393" w14:textId="7E7D832B" w:rsidR="00B00FC0" w:rsidRDefault="00B00FC0" w:rsidP="00B00FC0">
      <w:pPr>
        <w:pStyle w:val="atre"/>
      </w:pPr>
      <w:r>
        <w:t>Przedmiotem niniejszej Specyfikacji Technicznej są wymagania dotyczące wykonania i odbioru robót związanych z budową przyłącza wodociągowego, które zostaną wykonane w ramach zadania inwestycyjnego pn. „</w:t>
      </w:r>
      <w:r w:rsidRPr="00C6632E">
        <w:t>Rewitalizacja centrum Kramska dla działek (243/3, 242/3, 193) obręb Kramsk</w:t>
      </w:r>
      <w:r>
        <w:t xml:space="preserve">”. </w:t>
      </w:r>
    </w:p>
    <w:p w14:paraId="4CDF0A1B" w14:textId="77777777" w:rsidR="00B00FC0" w:rsidRDefault="00B00FC0" w:rsidP="00B00FC0">
      <w:pPr>
        <w:pStyle w:val="apunkt11"/>
      </w:pPr>
      <w:r>
        <w:t>Zakres stosowania ST</w:t>
      </w:r>
    </w:p>
    <w:p w14:paraId="23938600" w14:textId="77777777" w:rsidR="00B00FC0" w:rsidRDefault="00B00FC0" w:rsidP="00B00FC0">
      <w:pPr>
        <w:pStyle w:val="atre"/>
      </w:pPr>
      <w:r>
        <w:t>Specyfikacje Techniczne stanowią część Dokumentów Przetargowych i Umowy i należy je stosować w zlecaniu i wykonaniu Robót opisanych w podpunkcie 1.1.</w:t>
      </w:r>
    </w:p>
    <w:p w14:paraId="6109060E" w14:textId="77777777" w:rsidR="00B00FC0" w:rsidRDefault="00B00FC0" w:rsidP="00B00FC0">
      <w:pPr>
        <w:pStyle w:val="apunkt11"/>
      </w:pPr>
      <w:r>
        <w:t>Zakres robót objętych ST</w:t>
      </w:r>
    </w:p>
    <w:p w14:paraId="323A3E39" w14:textId="77777777" w:rsidR="00B00FC0" w:rsidRDefault="00B00FC0" w:rsidP="00B00FC0">
      <w:pPr>
        <w:pStyle w:val="atre"/>
      </w:pPr>
      <w:r>
        <w:t>Ustalenia zawarte w niniejszej specyfikacji dotyczą zasad prowadzenia robót związanych z:</w:t>
      </w:r>
    </w:p>
    <w:p w14:paraId="4F261B34" w14:textId="6177D5C2" w:rsidR="00B00FC0" w:rsidRDefault="00B00FC0" w:rsidP="00B00FC0">
      <w:pPr>
        <w:pStyle w:val="atrepunktowanie"/>
      </w:pPr>
      <w:r w:rsidRPr="00B00FC0">
        <w:t>budową przyłącza wodociągowego</w:t>
      </w:r>
      <w:r>
        <w:t>.</w:t>
      </w:r>
    </w:p>
    <w:p w14:paraId="34A7595C" w14:textId="553AA12C" w:rsidR="00B00FC0" w:rsidRPr="00B00FC0" w:rsidRDefault="00B00FC0" w:rsidP="00B00FC0">
      <w:pPr>
        <w:pStyle w:val="apunkt11"/>
      </w:pPr>
      <w:r w:rsidRPr="00B00FC0">
        <w:t>Określenia podstawowe</w:t>
      </w:r>
    </w:p>
    <w:p w14:paraId="6BA3B547" w14:textId="59F6D4A0" w:rsidR="00B00FC0" w:rsidRDefault="00B00FC0" w:rsidP="00B00FC0">
      <w:pPr>
        <w:pStyle w:val="apunkt111"/>
      </w:pPr>
      <w:r>
        <w:t xml:space="preserve">ST i/lub Specyfikacja Techniczna - </w:t>
      </w:r>
      <w:r w:rsidRPr="00B00FC0">
        <w:rPr>
          <w:b w:val="0"/>
          <w:bCs/>
        </w:rPr>
        <w:t>Specyfikacja Techniczna Wykonania i Odbioru Robót;</w:t>
      </w:r>
    </w:p>
    <w:p w14:paraId="026E6573" w14:textId="54387D05" w:rsidR="00B00FC0" w:rsidRPr="00B00FC0" w:rsidRDefault="00B00FC0" w:rsidP="00B00FC0">
      <w:pPr>
        <w:pStyle w:val="apunkt111"/>
        <w:rPr>
          <w:b w:val="0"/>
          <w:bCs/>
        </w:rPr>
      </w:pPr>
      <w:r>
        <w:t xml:space="preserve">Aprobata techniczna - </w:t>
      </w:r>
      <w:r w:rsidRPr="00B00FC0">
        <w:rPr>
          <w:b w:val="0"/>
          <w:bCs/>
        </w:rPr>
        <w:t>pozytywna ocena techniczna wyrobu, stwierdzająca jego przydatność do stosowania w budownictwie;</w:t>
      </w:r>
    </w:p>
    <w:p w14:paraId="60369B9B" w14:textId="2888B393" w:rsidR="00B00FC0" w:rsidRPr="00B00FC0" w:rsidRDefault="00B00FC0" w:rsidP="00B00FC0">
      <w:pPr>
        <w:pStyle w:val="apunkt111"/>
        <w:rPr>
          <w:b w:val="0"/>
          <w:bCs/>
        </w:rPr>
      </w:pPr>
      <w:r>
        <w:t xml:space="preserve">Armatura zaporowa – </w:t>
      </w:r>
      <w:r w:rsidRPr="00B00FC0">
        <w:rPr>
          <w:b w:val="0"/>
          <w:bCs/>
        </w:rPr>
        <w:t xml:space="preserve">zasuwy, przepustnice, zawory, </w:t>
      </w:r>
    </w:p>
    <w:p w14:paraId="29FC774F" w14:textId="6D422B1F" w:rsidR="00B00FC0" w:rsidRDefault="00B00FC0" w:rsidP="00B00FC0">
      <w:pPr>
        <w:pStyle w:val="apunkt111"/>
      </w:pPr>
      <w:r>
        <w:t xml:space="preserve">Armatura odpowietrzająca – </w:t>
      </w:r>
      <w:r w:rsidRPr="00B00FC0">
        <w:rPr>
          <w:b w:val="0"/>
          <w:bCs/>
        </w:rPr>
        <w:t>zawory, odpowietrzające, napowietrzające,</w:t>
      </w:r>
      <w:r>
        <w:t xml:space="preserve">   </w:t>
      </w:r>
    </w:p>
    <w:p w14:paraId="5579CEB1" w14:textId="42D2E7C7" w:rsidR="00B00FC0" w:rsidRPr="00B00FC0" w:rsidRDefault="00B00FC0" w:rsidP="00B00FC0">
      <w:pPr>
        <w:pStyle w:val="apunkt111"/>
        <w:rPr>
          <w:b w:val="0"/>
          <w:bCs/>
        </w:rPr>
      </w:pPr>
      <w:r>
        <w:t xml:space="preserve">Armatura regulująca – </w:t>
      </w:r>
      <w:r w:rsidRPr="00B00FC0">
        <w:rPr>
          <w:b w:val="0"/>
          <w:bCs/>
        </w:rPr>
        <w:t xml:space="preserve">zawory regulacyjne i redukcyjne,  </w:t>
      </w:r>
    </w:p>
    <w:p w14:paraId="3CFB3098" w14:textId="55C0D390" w:rsidR="00B00FC0" w:rsidRPr="00B00FC0" w:rsidRDefault="00B00FC0" w:rsidP="00B00FC0">
      <w:pPr>
        <w:pStyle w:val="apunkt111"/>
        <w:rPr>
          <w:b w:val="0"/>
          <w:bCs/>
        </w:rPr>
      </w:pPr>
      <w:r>
        <w:t xml:space="preserve">Armatura przeciwpożarowa – </w:t>
      </w:r>
      <w:r w:rsidRPr="00B00FC0">
        <w:rPr>
          <w:b w:val="0"/>
          <w:bCs/>
        </w:rPr>
        <w:t xml:space="preserve">hydranty,  </w:t>
      </w:r>
    </w:p>
    <w:p w14:paraId="0B841E53" w14:textId="32E10AA4" w:rsidR="00B00FC0" w:rsidRPr="00B00FC0" w:rsidRDefault="00B00FC0" w:rsidP="00B00FC0">
      <w:pPr>
        <w:pStyle w:val="apunkt111"/>
        <w:rPr>
          <w:b w:val="0"/>
          <w:bCs/>
        </w:rPr>
      </w:pPr>
      <w:r>
        <w:t xml:space="preserve">Armatura czerpalna – </w:t>
      </w:r>
      <w:r w:rsidRPr="00B00FC0">
        <w:rPr>
          <w:b w:val="0"/>
          <w:bCs/>
        </w:rPr>
        <w:t>zdroje uliczne</w:t>
      </w:r>
    </w:p>
    <w:p w14:paraId="668C073A" w14:textId="0E981FDB" w:rsidR="00B00FC0" w:rsidRDefault="00B00FC0" w:rsidP="00B00FC0">
      <w:pPr>
        <w:pStyle w:val="apunkt111"/>
      </w:pPr>
      <w:r>
        <w:t xml:space="preserve">Dokumentacja powykonawcza - </w:t>
      </w:r>
      <w:r w:rsidRPr="00B00FC0">
        <w:rPr>
          <w:b w:val="0"/>
          <w:bCs/>
        </w:rPr>
        <w:t>dokumentacja sporządzona przez wykonawcę robót zgodnie z obowiązującym Prawem Budowlanym,</w:t>
      </w:r>
      <w:r>
        <w:t xml:space="preserve"> </w:t>
      </w:r>
    </w:p>
    <w:p w14:paraId="24FE3B4D" w14:textId="206121B0" w:rsidR="00B00FC0" w:rsidRPr="00B00FC0" w:rsidRDefault="00B00FC0" w:rsidP="00B00FC0">
      <w:pPr>
        <w:pStyle w:val="apunkt111"/>
        <w:rPr>
          <w:b w:val="0"/>
          <w:bCs/>
        </w:rPr>
      </w:pPr>
      <w:r>
        <w:t xml:space="preserve">Kierownik budowy - </w:t>
      </w:r>
      <w:r w:rsidRPr="00B00FC0">
        <w:rPr>
          <w:b w:val="0"/>
          <w:bCs/>
        </w:rPr>
        <w:t>osoba wyznaczona przez wykonawcę upoważniona do kierowania robotami i do występowania w jego imieniu w sprawach realizacji umowy, posiadająca uprawnienia do kierowania robotami budowlanymi o specjalności instalacyjnej (w zakresie sieci wodociągowych);</w:t>
      </w:r>
    </w:p>
    <w:p w14:paraId="4835BCC8" w14:textId="071974AA" w:rsidR="00B00FC0" w:rsidRPr="00B00FC0" w:rsidRDefault="00B00FC0" w:rsidP="00B00FC0">
      <w:pPr>
        <w:pStyle w:val="apunkt111"/>
        <w:rPr>
          <w:b w:val="0"/>
          <w:bCs/>
        </w:rPr>
      </w:pPr>
      <w:r>
        <w:t xml:space="preserve">Inspektor nadzoru - </w:t>
      </w:r>
      <w:r w:rsidRPr="00B00FC0">
        <w:rPr>
          <w:b w:val="0"/>
          <w:bCs/>
        </w:rPr>
        <w:t>osoba wyznaczona przez zamawiającego do kontrolowania prawidłowości wykonywania robót zgodnie z obowiązującymi przepisami, Prawem Budowlanym i Specyfikacją Techniczną;</w:t>
      </w:r>
    </w:p>
    <w:p w14:paraId="50982D41" w14:textId="0CD1F602" w:rsidR="00B00FC0" w:rsidRPr="00B00FC0" w:rsidRDefault="00B00FC0" w:rsidP="00B00FC0">
      <w:pPr>
        <w:pStyle w:val="apunkt111"/>
        <w:rPr>
          <w:b w:val="0"/>
          <w:bCs/>
        </w:rPr>
      </w:pPr>
      <w:r>
        <w:t xml:space="preserve">Obmiar robót - </w:t>
      </w:r>
      <w:r w:rsidRPr="00B00FC0">
        <w:rPr>
          <w:b w:val="0"/>
          <w:bCs/>
        </w:rPr>
        <w:t>pomiar wykonanych robót budowlanych, dokonywany w celu weryfikacji ich ilości przypadku zmiany parametrów przyjętych w przedmiarze robót, albo obliczenia wartości robót dodatkowych, nieobjętych przedmiarem;</w:t>
      </w:r>
    </w:p>
    <w:p w14:paraId="790D0654" w14:textId="78125BE8" w:rsidR="00B00FC0" w:rsidRDefault="00B00FC0" w:rsidP="00B00FC0">
      <w:pPr>
        <w:pStyle w:val="apunkt111"/>
      </w:pPr>
      <w:r>
        <w:t xml:space="preserve">Odbiór - </w:t>
      </w:r>
      <w:r w:rsidRPr="00B00FC0">
        <w:rPr>
          <w:b w:val="0"/>
          <w:bCs/>
        </w:rPr>
        <w:t>ocena techniczna robót wykonanych przez Wykonawcę potwierdzona, odpowiednim dokumentem (protokołem);</w:t>
      </w:r>
    </w:p>
    <w:p w14:paraId="03B8BE0E" w14:textId="4B6F0AB1" w:rsidR="00B00FC0" w:rsidRPr="00B00FC0" w:rsidRDefault="00B00FC0" w:rsidP="00B00FC0">
      <w:pPr>
        <w:pStyle w:val="apunkt111"/>
        <w:rPr>
          <w:b w:val="0"/>
          <w:bCs/>
        </w:rPr>
      </w:pPr>
      <w:r>
        <w:t xml:space="preserve">Odbiór częściowy (robót budowlanych) - </w:t>
      </w:r>
      <w:r w:rsidRPr="00B00FC0">
        <w:rPr>
          <w:b w:val="0"/>
          <w:bCs/>
        </w:rPr>
        <w:t>nieformalna nazwa odbioru robót ulegających zakryciu i zanikających, a także dokonywania prób i sprawdzeń instalacji, urządzeń technicznych i przewodów kominowych. Odbiorem  częściowym nazywa się także odbiór części obiektu budowlanego wykonanego w  stanie nadającym się do użytkowania, przed zgłoszeniem do odbioru całego obiektu  budowlanego, który jest traktowany jako „odbiór końcowy”;</w:t>
      </w:r>
    </w:p>
    <w:p w14:paraId="615FC42C" w14:textId="78DB0BA6" w:rsidR="00B00FC0" w:rsidRPr="00B00FC0" w:rsidRDefault="00B00FC0" w:rsidP="00B00FC0">
      <w:pPr>
        <w:pStyle w:val="apunkt111"/>
        <w:rPr>
          <w:b w:val="0"/>
          <w:bCs/>
        </w:rPr>
      </w:pPr>
      <w:r>
        <w:lastRenderedPageBreak/>
        <w:t xml:space="preserve">Teren zamknięty - </w:t>
      </w:r>
      <w:r w:rsidRPr="00B00FC0">
        <w:rPr>
          <w:b w:val="0"/>
          <w:bCs/>
        </w:rPr>
        <w:t>należy przez to rozumieć teren zamknięty, o którym mowa w przepisach prawa geodezyjnego i kartograficznego;</w:t>
      </w:r>
    </w:p>
    <w:p w14:paraId="31F5C8D1" w14:textId="636BFBF1" w:rsidR="00B00FC0" w:rsidRPr="00B00FC0" w:rsidRDefault="00B00FC0" w:rsidP="00B00FC0">
      <w:pPr>
        <w:pStyle w:val="apunkt111"/>
        <w:rPr>
          <w:b w:val="0"/>
          <w:bCs/>
        </w:rPr>
      </w:pPr>
      <w:r>
        <w:t xml:space="preserve">Podwykonawca - </w:t>
      </w:r>
      <w:r w:rsidRPr="00B00FC0">
        <w:rPr>
          <w:b w:val="0"/>
          <w:bCs/>
        </w:rPr>
        <w:t>każda osoba wymieniona w umowie jako podwykonawca dla części robót lub każda inna osoba, której część robót została podzlecona za zgodą zamawiającego, a także prawni następcy tych osób, ale nie żadna inna osoba wyznaczona przez te osoby;</w:t>
      </w:r>
    </w:p>
    <w:p w14:paraId="3D25C4EE" w14:textId="51A30E17" w:rsidR="00B00FC0" w:rsidRPr="00B00FC0" w:rsidRDefault="00B00FC0" w:rsidP="00B00FC0">
      <w:pPr>
        <w:pStyle w:val="apunkt111"/>
        <w:rPr>
          <w:b w:val="0"/>
          <w:bCs/>
        </w:rPr>
      </w:pPr>
      <w:r>
        <w:t xml:space="preserve">Przedmiar robót - </w:t>
      </w:r>
      <w:r w:rsidRPr="00B00FC0">
        <w:rPr>
          <w:b w:val="0"/>
          <w:bCs/>
        </w:rPr>
        <w:t>część składowa dokumentacji, zawierająca szczegółowe wyliczenie przewidzianych do wykonania robót;</w:t>
      </w:r>
    </w:p>
    <w:p w14:paraId="4EA59F6A" w14:textId="7BD27C18" w:rsidR="00B00FC0" w:rsidRPr="00B00FC0" w:rsidRDefault="00B00FC0" w:rsidP="00B00FC0">
      <w:pPr>
        <w:pStyle w:val="apunkt111"/>
        <w:rPr>
          <w:b w:val="0"/>
          <w:bCs/>
        </w:rPr>
      </w:pPr>
      <w:r>
        <w:t xml:space="preserve">Roboty podstawowe - </w:t>
      </w:r>
      <w:r w:rsidRPr="00B00FC0">
        <w:rPr>
          <w:b w:val="0"/>
          <w:bCs/>
        </w:rPr>
        <w:t>minimalny zakres prac, które po wykonaniu są możliwe do odebrania pod względem ilości i wymogów jakościowych oraz uwzględniają przyjęty stopień scalenia robót;</w:t>
      </w:r>
    </w:p>
    <w:p w14:paraId="42E1765B" w14:textId="09DE74BE" w:rsidR="00B00FC0" w:rsidRPr="00B00FC0" w:rsidRDefault="00B00FC0" w:rsidP="00B00FC0">
      <w:pPr>
        <w:pStyle w:val="apunkt111"/>
        <w:rPr>
          <w:b w:val="0"/>
          <w:bCs/>
        </w:rPr>
      </w:pPr>
      <w:r>
        <w:t xml:space="preserve">Wyrób budowlany - </w:t>
      </w:r>
      <w:r w:rsidRPr="00B00FC0">
        <w:rPr>
          <w:b w:val="0"/>
          <w:bCs/>
        </w:rPr>
        <w:t>należy przez to rozumieć wyrób w rozumieniu przepisów o wyrobach budowlanych, wytworzony w celu wbudowania, wmontowania, zainstalowania lub zastosowania w sposób trwały w obiekcie budowlanym, wprowadzony do obrotu jako wyrób pojedynczy lub jako zestaw wyrobów do stosowania we wzajemnym połączeniu stanowiącym całość użytkową;</w:t>
      </w:r>
    </w:p>
    <w:p w14:paraId="5E865A85" w14:textId="1C79F538" w:rsidR="00B00FC0" w:rsidRPr="00B00FC0" w:rsidRDefault="00B00FC0" w:rsidP="00B00FC0">
      <w:pPr>
        <w:pStyle w:val="apunkt111"/>
        <w:rPr>
          <w:b w:val="0"/>
          <w:bCs/>
        </w:rPr>
      </w:pPr>
      <w:r>
        <w:t xml:space="preserve">BHP - </w:t>
      </w:r>
      <w:r w:rsidRPr="00B00FC0">
        <w:rPr>
          <w:b w:val="0"/>
          <w:bCs/>
        </w:rPr>
        <w:t>Bezpieczeństwo i Higiena Pracy;</w:t>
      </w:r>
    </w:p>
    <w:p w14:paraId="634B9BDF" w14:textId="44E79631" w:rsidR="00B00FC0" w:rsidRPr="00B00FC0" w:rsidRDefault="00B00FC0" w:rsidP="00B00FC0">
      <w:pPr>
        <w:pStyle w:val="apunkt111"/>
        <w:rPr>
          <w:b w:val="0"/>
          <w:bCs/>
        </w:rPr>
      </w:pPr>
      <w:r>
        <w:t xml:space="preserve">Plan BIOZ – </w:t>
      </w:r>
      <w:r w:rsidRPr="00B00FC0">
        <w:rPr>
          <w:b w:val="0"/>
          <w:bCs/>
        </w:rPr>
        <w:t>Plan Bezpieczeństwa i Ochrona Zdrowia;</w:t>
      </w:r>
    </w:p>
    <w:p w14:paraId="66A7A801" w14:textId="6F8D4A27" w:rsidR="00B00FC0" w:rsidRPr="00B00FC0" w:rsidRDefault="00B00FC0" w:rsidP="00B00FC0">
      <w:pPr>
        <w:pStyle w:val="apunkt111"/>
        <w:rPr>
          <w:b w:val="0"/>
          <w:bCs/>
        </w:rPr>
      </w:pPr>
      <w:r>
        <w:t xml:space="preserve">Dzień roboczy - </w:t>
      </w:r>
      <w:r w:rsidRPr="00B00FC0">
        <w:rPr>
          <w:b w:val="0"/>
          <w:bCs/>
        </w:rPr>
        <w:t>każdy z dni kalendarzowych z wyjątkiem dni ustawowo wolnych od pracy.</w:t>
      </w:r>
    </w:p>
    <w:p w14:paraId="48E52114" w14:textId="6559228C" w:rsidR="00B00FC0" w:rsidRPr="00B00FC0" w:rsidRDefault="00B00FC0" w:rsidP="00B00FC0">
      <w:pPr>
        <w:pStyle w:val="apunkt111"/>
        <w:rPr>
          <w:b w:val="0"/>
          <w:bCs/>
        </w:rPr>
      </w:pPr>
      <w:r>
        <w:t xml:space="preserve">PPIS – </w:t>
      </w:r>
      <w:r w:rsidRPr="00B00FC0">
        <w:rPr>
          <w:b w:val="0"/>
          <w:bCs/>
        </w:rPr>
        <w:t>Państwowy Powiatowy Inspektor Sanitarny</w:t>
      </w:r>
    </w:p>
    <w:p w14:paraId="4ED3B567" w14:textId="7FC81A6B" w:rsidR="00B00FC0" w:rsidRPr="00E27B0A" w:rsidRDefault="00B00FC0" w:rsidP="00B00FC0">
      <w:pPr>
        <w:pStyle w:val="apunkt1"/>
      </w:pPr>
      <w:r>
        <w:t>MATERIAŁY</w:t>
      </w:r>
    </w:p>
    <w:p w14:paraId="2AE307F0" w14:textId="3BF4016B" w:rsidR="00B00FC0" w:rsidRDefault="00B00FC0" w:rsidP="00B00FC0">
      <w:pPr>
        <w:pStyle w:val="apunkt11"/>
      </w:pPr>
      <w:bookmarkStart w:id="0" w:name="_Toc53920295"/>
      <w:r>
        <w:t>Ogólne wymagania dotyczące materiałów</w:t>
      </w:r>
      <w:bookmarkEnd w:id="0"/>
    </w:p>
    <w:p w14:paraId="62B43BA8" w14:textId="77777777" w:rsidR="00B00FC0" w:rsidRDefault="00B00FC0" w:rsidP="00B00FC0">
      <w:pPr>
        <w:pStyle w:val="atre"/>
      </w:pPr>
      <w:r>
        <w:t>Przy wykonywaniu robót budowlanych mogą być zastosowane  materiały  i  urządzenia  dopuszczone do obrotu i powszechnego stosowania w budownictwie oraz posiadać właściwości użytkowe umożliwiające prawidłowo wykonanym obiektom spełnienie wymagań podstawowych określonych w Prawie Budowlanym art.5, art.10 i (min. certyfikaty, aprobaty techniczne, atesty i dopuszczenia upoważnionych instytucji do stosowania w Polsce w szczególności  atesty  Instytutu  Techniki Budowlanej i świadectwa Państwowego Zakładu Higieny).  Materiały powinny być zgodne z wymaganiami określonymi w ST. Na  każde  żądanie  zamawiającego  materiały  te  zostaną   poddane  badaniom na koszt wykonawcy w  miejscu produkcji, na terenie wykonywanych prac lub też w określonym  przez  zamawiającego  miejscu. Do czasu odbioru  przedmiotu  umowy wykonawca będzie przechowywał: certyfikaty, atesty, aprobaty techniczne i dopuszczenia do stosowania.</w:t>
      </w:r>
    </w:p>
    <w:p w14:paraId="32C8489B" w14:textId="565B298B" w:rsidR="00B00FC0" w:rsidRDefault="00E27B0A" w:rsidP="00E27B0A">
      <w:pPr>
        <w:pStyle w:val="apunkt11"/>
      </w:pPr>
      <w:r>
        <w:t>Składowanie materiałów</w:t>
      </w:r>
    </w:p>
    <w:p w14:paraId="48962824" w14:textId="77777777" w:rsidR="00B00FC0" w:rsidRDefault="00B00FC0" w:rsidP="00E27B0A">
      <w:pPr>
        <w:pStyle w:val="atre"/>
      </w:pPr>
      <w:r>
        <w:t>Wykonawca jest zobowiązany zapewnić, żeby materiały i urządzenia tymczasowo składowane na budowie, były zabezpieczone przed uszkodzeniem. Musi utrzymywać ich jakość i własności w takim stanie, jaki jest wymagany w chwili wbudowania lub montażu. Muszą one w każdej chwili być dostępne dla przeprowadzenia inspekcji przez zamawiającego, aż do chwili kiedy zostaną użyte. Tymczasowe tereny przeznaczone do składowania materiałów i urządzeń będą zlokalizowane w obrębie placu budowy w miejscach uzgodnionych z zamawiającym. Jeżeli określone materiały wymagają zabezpieczenia ze względu na szkodliwy wpływ czynników zewnętrznych to przy składowaniu wykonawca zabezpieczy te materiały w sposób odpowiedni dla występujących zagrożeń. Wszelkie miejsca składowania powinny być doprowadzane do stanu pierwotnego. Tymczasowo składowane materiały z rozbiórki, do czasu, gdy będą one wywiezione na składowisko, do zakładu utylizacji lub w miejsce wskazane przez zamawiającego, muszą być zabezpieczone w sposób uniemożliwiający zanieczyszczenie środowiska i miejsca składowania.</w:t>
      </w:r>
    </w:p>
    <w:p w14:paraId="438ED202" w14:textId="6EC848B3" w:rsidR="00B00FC0" w:rsidRDefault="00E27B0A" w:rsidP="00E27B0A">
      <w:pPr>
        <w:pStyle w:val="apunkt11"/>
      </w:pPr>
      <w:r>
        <w:t>Kontrola materiałów i urządzeń</w:t>
      </w:r>
    </w:p>
    <w:p w14:paraId="591B63E7" w14:textId="77777777" w:rsidR="00B00FC0" w:rsidRDefault="00B00FC0" w:rsidP="00E27B0A">
      <w:pPr>
        <w:pStyle w:val="atre"/>
      </w:pPr>
      <w:r>
        <w:t xml:space="preserve">Wszystkie wbudowywane materiały i urządzenia instalowane w trakcie wykonywania robót muszą być zgodne z wymaganiami określonymi w specyfikacji technicznej. Wykonawca jest zobowiązany do dostarczania atestów, aprobat technicznych lub świadectw zgodności użytych do realizacji umowy </w:t>
      </w:r>
      <w:r>
        <w:lastRenderedPageBreak/>
        <w:t xml:space="preserve">materiałów. Zamawiający może okresowo kontrolować dostarczane na budowę materiały i urządzenia, aby sprawdzić, czy są one zgodne z wymaganiami specyfikacji technicznych. Materiały posiadające atesty, a urządzenia – ważną legalizację, mogą być badane przez zamawiającego w dowolnym czasie w trakcie trwania robót. W przypadku, gdy zostanie stwierdzona niezgodność właściwości przewidzianych do użycia materiałów i urządzeń z wymaganiami zawartymi w specyfikacji technicznej nie zostaną one przyjęte do wbudowania. </w:t>
      </w:r>
    </w:p>
    <w:p w14:paraId="0AD47235" w14:textId="2E396A22" w:rsidR="00B00FC0" w:rsidRDefault="00E27B0A" w:rsidP="00E27B0A">
      <w:pPr>
        <w:pStyle w:val="apunkt11"/>
      </w:pPr>
      <w:r>
        <w:t>Materiały nie odpowiadające wymaganiom</w:t>
      </w:r>
    </w:p>
    <w:p w14:paraId="132E1434" w14:textId="77777777" w:rsidR="00B00FC0" w:rsidRDefault="00B00FC0" w:rsidP="00E27B0A">
      <w:pPr>
        <w:pStyle w:val="atre"/>
      </w:pPr>
      <w:r>
        <w:t>Materiały uznane przez zamawiającego za niezgodne ze specyfikacją techniczną muszą być niezwłocznie usunięte przez wykonawcę z placu budowy. Kategorycznie zabrania się używania lub stosowania materiałów, które nie uzyskały wcześniejszej akceptacji inspektora nadzoru. Każdy rodzaj robót wykonywanych z użyciem materiałów, które nie zostały sprawdzone lub zaakceptowane przez zamawiającego, będzie wykonany na własne ryzyko wykonawcy. Wykonawca musi zdawać sobie sprawę, że te roboty mogą być odrzucone tj. zakwalifikowane jako wadliwe i  niezapłacone. Koszty związane z demontażem materiałów niezgodnych ze specyfikacją ponosi wykonawca.</w:t>
      </w:r>
    </w:p>
    <w:p w14:paraId="69C9C42A" w14:textId="637A2480" w:rsidR="00B00FC0" w:rsidRDefault="00E27B0A" w:rsidP="00E27B0A">
      <w:pPr>
        <w:pStyle w:val="apunkt11"/>
      </w:pPr>
      <w:bookmarkStart w:id="1" w:name="_Toc53920297"/>
      <w:r>
        <w:t>Szczegółowe wymagania dotyczące materiałów</w:t>
      </w:r>
      <w:bookmarkEnd w:id="1"/>
      <w:r>
        <w:t xml:space="preserve"> </w:t>
      </w:r>
    </w:p>
    <w:p w14:paraId="0A797C0F" w14:textId="36EBBBB2" w:rsidR="00B00FC0" w:rsidRDefault="00E27B0A" w:rsidP="00E27B0A">
      <w:pPr>
        <w:pStyle w:val="apunkt111"/>
      </w:pPr>
      <w:r>
        <w:t xml:space="preserve">Rury i kształtki z PCV </w:t>
      </w:r>
    </w:p>
    <w:p w14:paraId="1516E02B" w14:textId="64679291" w:rsidR="00B00FC0" w:rsidRDefault="00B00FC0" w:rsidP="00E27B0A">
      <w:pPr>
        <w:pStyle w:val="atre"/>
      </w:pPr>
      <w:r>
        <w:t>Wodociąg zaprojektowano z rur ciśnieniowych typu PCV 110x4,2 PN 10</w:t>
      </w:r>
      <w:r w:rsidR="00E27B0A">
        <w:t xml:space="preserve"> </w:t>
      </w:r>
      <w:r>
        <w:t xml:space="preserve">łączonych kielichowo lub za pomocą kształtek żeliwnych </w:t>
      </w:r>
    </w:p>
    <w:p w14:paraId="29A29DAD" w14:textId="77777777" w:rsidR="00B00FC0" w:rsidRDefault="00B00FC0" w:rsidP="00B00FC0">
      <w:pPr>
        <w:jc w:val="both"/>
        <w:rPr>
          <w:rFonts w:ascii="Arial" w:hAnsi="Arial"/>
        </w:rPr>
      </w:pPr>
    </w:p>
    <w:p w14:paraId="5E87B755" w14:textId="0EB2E30B" w:rsidR="00B00FC0" w:rsidRDefault="00E27B0A" w:rsidP="00E27B0A">
      <w:pPr>
        <w:pStyle w:val="apunkt111"/>
      </w:pPr>
      <w:r>
        <w:t xml:space="preserve">Rury, kształtki i armatura  </w:t>
      </w:r>
    </w:p>
    <w:p w14:paraId="17912EA5" w14:textId="77777777" w:rsidR="00B00FC0" w:rsidRDefault="00B00FC0" w:rsidP="00E27B0A">
      <w:pPr>
        <w:pStyle w:val="atrepunktowanie"/>
      </w:pPr>
      <w:r>
        <w:t>Rury wodociągowe ciśnieniowe z PCV o średnicy nominalnej DN 100</w:t>
      </w:r>
    </w:p>
    <w:p w14:paraId="37B71F99" w14:textId="77777777" w:rsidR="00B00FC0" w:rsidRDefault="00B00FC0" w:rsidP="00E27B0A">
      <w:pPr>
        <w:pStyle w:val="atrepunktowanie"/>
      </w:pPr>
      <w:r>
        <w:t xml:space="preserve">Rury i kształtki z żeliwa sferoidalnego o średnicach: DN 100mm na ciśnienie PN 10,  </w:t>
      </w:r>
    </w:p>
    <w:p w14:paraId="0743F824" w14:textId="77777777" w:rsidR="00B00FC0" w:rsidRDefault="00B00FC0" w:rsidP="00E27B0A">
      <w:pPr>
        <w:pStyle w:val="atrepunktowanie"/>
      </w:pPr>
      <w:r>
        <w:t xml:space="preserve">Zasuwy żeliwne kołnierzowe miękko uszczelniające o średnicach: DN 160 mm na ciśnienie PN 10,  </w:t>
      </w:r>
    </w:p>
    <w:p w14:paraId="55934276" w14:textId="77777777" w:rsidR="00B00FC0" w:rsidRDefault="00B00FC0" w:rsidP="00E27B0A">
      <w:pPr>
        <w:pStyle w:val="atrepunktowanie"/>
      </w:pPr>
      <w:r>
        <w:t xml:space="preserve">Obudowy do zasuw </w:t>
      </w:r>
    </w:p>
    <w:p w14:paraId="0D698A5A" w14:textId="77777777" w:rsidR="00B00FC0" w:rsidRDefault="00B00FC0" w:rsidP="00E27B0A">
      <w:pPr>
        <w:pStyle w:val="atrepunktowanie"/>
      </w:pPr>
      <w:r>
        <w:t xml:space="preserve">Skrzynki uliczne do zasuw żeliwne </w:t>
      </w:r>
    </w:p>
    <w:p w14:paraId="24ED5E3D" w14:textId="77777777" w:rsidR="00B00FC0" w:rsidRDefault="00B00FC0" w:rsidP="00E27B0A">
      <w:pPr>
        <w:pStyle w:val="apunkt111"/>
      </w:pPr>
      <w:r>
        <w:t xml:space="preserve">MATERIAŁY OZNACZENIOWE  </w:t>
      </w:r>
    </w:p>
    <w:p w14:paraId="4144FED6" w14:textId="77777777" w:rsidR="00B00FC0" w:rsidRDefault="00B00FC0" w:rsidP="00E27B0A">
      <w:pPr>
        <w:pStyle w:val="atrepunktowanie"/>
      </w:pPr>
      <w:r>
        <w:t xml:space="preserve">taśmy  znacznikowe  z  wkładką metalową  do  oznaczania  trasy  wodociągu-kolor niebieski, </w:t>
      </w:r>
    </w:p>
    <w:p w14:paraId="0EF125D2" w14:textId="77777777" w:rsidR="00B00FC0" w:rsidRDefault="00B00FC0" w:rsidP="00E27B0A">
      <w:pPr>
        <w:pStyle w:val="atrepunktowanie"/>
      </w:pPr>
      <w:r>
        <w:t xml:space="preserve">Drut sygnalizacyjny YDY </w:t>
      </w:r>
    </w:p>
    <w:p w14:paraId="5444A71B" w14:textId="77777777" w:rsidR="00B00FC0" w:rsidRDefault="00B00FC0" w:rsidP="00E27B0A">
      <w:pPr>
        <w:pStyle w:val="atrepunktowanie"/>
      </w:pPr>
      <w:r>
        <w:t xml:space="preserve">słupki znacznikowe i tabliczki informacyjne wg PN-86/B-09700. </w:t>
      </w:r>
    </w:p>
    <w:p w14:paraId="68CB8B07" w14:textId="77777777" w:rsidR="00B00FC0" w:rsidRDefault="00B00FC0" w:rsidP="00E27B0A">
      <w:pPr>
        <w:pStyle w:val="apunkt111"/>
      </w:pPr>
      <w:r>
        <w:t xml:space="preserve">INNE  </w:t>
      </w:r>
    </w:p>
    <w:p w14:paraId="63A16BAD" w14:textId="77777777" w:rsidR="00B00FC0" w:rsidRDefault="00B00FC0" w:rsidP="00E27B0A">
      <w:pPr>
        <w:pStyle w:val="atrepunktowanie"/>
      </w:pPr>
      <w:r>
        <w:t xml:space="preserve">bloki oporowe z betonu B 15, </w:t>
      </w:r>
    </w:p>
    <w:p w14:paraId="749F3FA2" w14:textId="393F789E" w:rsidR="00B00FC0" w:rsidRPr="00E27B0A" w:rsidRDefault="00E27B0A" w:rsidP="00B00FC0">
      <w:pPr>
        <w:pStyle w:val="apunkt1"/>
      </w:pPr>
      <w:r>
        <w:t>SPRZĘT</w:t>
      </w:r>
    </w:p>
    <w:p w14:paraId="1C59178D" w14:textId="23F3EA94" w:rsidR="00B00FC0" w:rsidRDefault="00B00FC0" w:rsidP="00E27B0A">
      <w:pPr>
        <w:pStyle w:val="apunkt11"/>
      </w:pPr>
      <w:bookmarkStart w:id="2" w:name="_Toc53920300"/>
      <w:r>
        <w:t>O</w:t>
      </w:r>
      <w:r w:rsidR="00E27B0A">
        <w:t>gólne wymagania dotyczące sprzętu</w:t>
      </w:r>
      <w:bookmarkEnd w:id="2"/>
    </w:p>
    <w:p w14:paraId="20E92CB4" w14:textId="77777777" w:rsidR="00B00FC0" w:rsidRDefault="00B00FC0" w:rsidP="00E27B0A">
      <w:pPr>
        <w:pStyle w:val="atre"/>
      </w:pPr>
      <w:r>
        <w:t>Wykonawca jest zobowiązany do używania jedynie takiego sprzętu, który nie spowoduje niekorzystnego wpływu na jakość wykonywanych robót. Sprzęt będący własnością wykonawcy lub wynajęty do wykonania robót ma być utrzymywany w dobrym stanie technicznym, sprawdzony przed użyciem oraz powinien posiadać klasę CE.</w:t>
      </w:r>
    </w:p>
    <w:p w14:paraId="2C64BCE0" w14:textId="77777777" w:rsidR="00B00FC0" w:rsidRDefault="00B00FC0" w:rsidP="00E27B0A">
      <w:pPr>
        <w:pStyle w:val="atre"/>
      </w:pPr>
      <w:r>
        <w:t>Sprzęt używany do wykonania robót musi być zgodny z normami ochrony środowiska i przepisani dotyczącymi jego użytkowania.</w:t>
      </w:r>
    </w:p>
    <w:p w14:paraId="2FAE9BCB" w14:textId="77777777" w:rsidR="00B00FC0" w:rsidRDefault="00B00FC0" w:rsidP="00E27B0A">
      <w:pPr>
        <w:pStyle w:val="atre"/>
      </w:pPr>
      <w:r>
        <w:t xml:space="preserve">Wykonawca dostarczy inspektorowi nadzoru kopie dokumentów potwierdzających dopuszczenie sprzętu do użytkowania, tam gdzie jest to wymagane przepisami. </w:t>
      </w:r>
    </w:p>
    <w:p w14:paraId="589B79FC" w14:textId="77777777" w:rsidR="00B00FC0" w:rsidRDefault="00B00FC0" w:rsidP="00E27B0A">
      <w:pPr>
        <w:pStyle w:val="atre"/>
      </w:pPr>
      <w:r>
        <w:t>Jeżeli ST przewidują możliwość wariantowego użycia sprzętu przy wykonywanych robotach, wykonawca powiadomi inspektora nadzoru o swym zamiarze wyboru i uzyska jego akceptacje przed użyciem sprzętu. Wybrany sprzęt, po akceptacji inspektora nadzoru, nie może być później zmieniany bez jego zgody.</w:t>
      </w:r>
    </w:p>
    <w:p w14:paraId="5FA39E13" w14:textId="77777777" w:rsidR="00B00FC0" w:rsidRPr="009F47DE" w:rsidRDefault="00B00FC0" w:rsidP="00B00FC0">
      <w:pPr>
        <w:jc w:val="both"/>
        <w:rPr>
          <w:sz w:val="20"/>
          <w:szCs w:val="20"/>
        </w:rPr>
      </w:pPr>
      <w:r w:rsidRPr="009F47DE">
        <w:rPr>
          <w:rFonts w:ascii="Arial" w:hAnsi="Arial"/>
          <w:sz w:val="20"/>
          <w:szCs w:val="20"/>
        </w:rPr>
        <w:t>Jakikolwiek sprzęt, maszyny, urządzenia i narzędzia nie gwarantujące zachowania warunków umowy, zastaną przez inspektora nadzoru zdyskwalifikowane i nie dopuszczane do robót.</w:t>
      </w:r>
    </w:p>
    <w:p w14:paraId="0A1B1A8D" w14:textId="426CF13D" w:rsidR="00B00FC0" w:rsidRPr="00680A86" w:rsidRDefault="00B00FC0" w:rsidP="00B00FC0">
      <w:pPr>
        <w:pStyle w:val="apunkt1"/>
      </w:pPr>
      <w:bookmarkStart w:id="3" w:name="_Toc53920301"/>
      <w:r>
        <w:lastRenderedPageBreak/>
        <w:t>TRANSPORT</w:t>
      </w:r>
      <w:bookmarkEnd w:id="3"/>
    </w:p>
    <w:p w14:paraId="4CD64F2A" w14:textId="00E52B44" w:rsidR="00B00FC0" w:rsidRDefault="00E27B0A" w:rsidP="00E27B0A">
      <w:pPr>
        <w:pStyle w:val="apunkt11"/>
      </w:pPr>
      <w:bookmarkStart w:id="4" w:name="_Toc53920302"/>
      <w:r>
        <w:t>Ogólne wymagania dotyczące  transportu</w:t>
      </w:r>
      <w:bookmarkEnd w:id="4"/>
    </w:p>
    <w:p w14:paraId="54A7E416" w14:textId="77777777" w:rsidR="00B00FC0" w:rsidRDefault="00B00FC0" w:rsidP="00E27B0A">
      <w:pPr>
        <w:pStyle w:val="atre"/>
      </w:pPr>
      <w: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ST i wskazówkami inspektora nadzoru, w terminie przewidzianym umową. </w:t>
      </w:r>
    </w:p>
    <w:p w14:paraId="47E5F410" w14:textId="77777777" w:rsidR="00B00FC0" w:rsidRDefault="00B00FC0" w:rsidP="00E27B0A">
      <w:pPr>
        <w:pStyle w:val="atre"/>
      </w:pPr>
      <w:r>
        <w:t xml:space="preserve">Przy ruchu na drogach wewnętrznych jednostki pojazdy będą spełniać wymagania dotyczące przepisów ruchu drogowego w odniesieniu do dopuszczalnych obciążeń na osie i innych parametrów technicznych. </w:t>
      </w:r>
    </w:p>
    <w:p w14:paraId="5BD0DC02" w14:textId="77777777" w:rsidR="00B00FC0" w:rsidRDefault="00B00FC0" w:rsidP="00E27B0A">
      <w:pPr>
        <w:pStyle w:val="atre"/>
      </w:pPr>
      <w:r>
        <w:t>Wykonawca będzie usuwać na bieżąco, na własny koszt, wszelkie zanieczyszczenia spowodowane środkami transportu na drogach oraz dojazdach do terenu wykonywanych prac.</w:t>
      </w:r>
    </w:p>
    <w:p w14:paraId="76951C87" w14:textId="77777777" w:rsidR="00B00FC0" w:rsidRDefault="00B00FC0" w:rsidP="00E27B0A">
      <w:pPr>
        <w:pStyle w:val="atre"/>
      </w:pPr>
      <w:r>
        <w:t>Przy ruchu po drogach publicznych pojazdy muszą spełniać wymagania dotyczące przepisów ruchu drogowego. Środki transportu nie odpowiadające powyższym warunkom, będą usunięte z terenu budowy na polecenie zamawiającego.</w:t>
      </w:r>
    </w:p>
    <w:p w14:paraId="51746526" w14:textId="41924F63" w:rsidR="00B00FC0" w:rsidRDefault="00E27B0A" w:rsidP="00E27B0A">
      <w:pPr>
        <w:pStyle w:val="apunkt11"/>
      </w:pPr>
      <w:bookmarkStart w:id="5" w:name="_Toc53920303"/>
      <w:r>
        <w:t>Transport poziomy</w:t>
      </w:r>
      <w:bookmarkEnd w:id="5"/>
    </w:p>
    <w:p w14:paraId="79593140" w14:textId="77777777" w:rsidR="00B00FC0" w:rsidRPr="009F47DE" w:rsidRDefault="00B00FC0" w:rsidP="00B00FC0">
      <w:pPr>
        <w:jc w:val="both"/>
        <w:rPr>
          <w:sz w:val="20"/>
          <w:szCs w:val="20"/>
        </w:rPr>
      </w:pPr>
      <w:r w:rsidRPr="009F47DE">
        <w:rPr>
          <w:rFonts w:ascii="Arial" w:hAnsi="Arial"/>
          <w:sz w:val="20"/>
          <w:szCs w:val="20"/>
        </w:rPr>
        <w:t xml:space="preserve">Wykonawca zobowiązany jest do stosowania wyłącznie takich środków transportu poziomego, jakie nie powodują uszkodzeń transportowanych materiałów i elementów. Liczba i rodzaje środków transportu należy określić w oparciu o przyjętą organizację prac. </w:t>
      </w:r>
    </w:p>
    <w:p w14:paraId="6DC36B45" w14:textId="34FD762B" w:rsidR="00B00FC0" w:rsidRDefault="00E27B0A" w:rsidP="00E27B0A">
      <w:pPr>
        <w:pStyle w:val="apunkt11"/>
      </w:pPr>
      <w:bookmarkStart w:id="6" w:name="_Toc53920304"/>
      <w:r>
        <w:t>Transport pionowy</w:t>
      </w:r>
      <w:bookmarkEnd w:id="6"/>
    </w:p>
    <w:p w14:paraId="7CF71C31" w14:textId="77777777" w:rsidR="00B00FC0" w:rsidRDefault="00B00FC0" w:rsidP="00E27B0A">
      <w:pPr>
        <w:pStyle w:val="atre"/>
      </w:pPr>
      <w:r>
        <w:t>Wykonawca jest zobowiązany do stosowania środków transportu pionowego zgodnie z przyjętą organizacją prac, nie powodujących uszkodzeń transportowanych materiałów i elementów. W razie braku takich ustaleń wykonawca ustala środki transportu pionowego z inspektorem nadzoru inwestorskiego. Wybór środków transportu pionowego wymaga szczególnej staranności przy realizacji robót.</w:t>
      </w:r>
    </w:p>
    <w:p w14:paraId="2F0173D2" w14:textId="77777777" w:rsidR="00B00FC0" w:rsidRDefault="00B00FC0" w:rsidP="00E27B0A">
      <w:pPr>
        <w:pStyle w:val="apunkt1"/>
      </w:pPr>
      <w:bookmarkStart w:id="7" w:name="_Toc53920305"/>
      <w:r>
        <w:t>WYKONANIE ROBÓT</w:t>
      </w:r>
      <w:bookmarkEnd w:id="7"/>
    </w:p>
    <w:p w14:paraId="65C5080B" w14:textId="6D8A86BF" w:rsidR="00B00FC0" w:rsidRDefault="00E27B0A" w:rsidP="00E27B0A">
      <w:pPr>
        <w:pStyle w:val="apunkt11"/>
      </w:pPr>
      <w:bookmarkStart w:id="8" w:name="_Toc53920306"/>
      <w:r>
        <w:t>Średnice rurociągów i zastosowane materiały</w:t>
      </w:r>
      <w:bookmarkEnd w:id="8"/>
      <w:r>
        <w:t xml:space="preserve"> </w:t>
      </w:r>
      <w:r w:rsidR="00B00FC0">
        <w:t xml:space="preserve"> </w:t>
      </w:r>
    </w:p>
    <w:p w14:paraId="52D27625" w14:textId="77777777" w:rsidR="00B00FC0" w:rsidRDefault="00B00FC0" w:rsidP="00E27B0A">
      <w:pPr>
        <w:pStyle w:val="atre"/>
      </w:pPr>
      <w:r>
        <w:t xml:space="preserve">Sieć wodociągową zaprojektowano z rur ciśnieniowych wodociągowych z PE RC PN 10. Rury należy łączyć poprzez zgrzewanie doczołowe ewentualnie kształtki elektrooporowe  Do łączenia rur z armaturą kołnierzową zastosowano tuleje kołnierzowe.. Do uszczelnienia takiego połączenia należy stosować uszczelki gumowe z wkładką stalową. Śruby stosowane do skręcania połączenia powinny być wykonane z materiału odpornego na korozję (np. ze stali nierdzewnej) lub powinny posiadać odpowiednie zabezpieczenie antykorozyjne. Śruby należy dokręcać kluczem Dynamometrycznym w kolejności naprzemianległej (metodą „po krzyżu”).   </w:t>
      </w:r>
    </w:p>
    <w:p w14:paraId="6F0B55B6" w14:textId="7F014A2C" w:rsidR="00B00FC0" w:rsidRDefault="00E27B0A" w:rsidP="00E27B0A">
      <w:pPr>
        <w:pStyle w:val="apunkt111"/>
      </w:pPr>
      <w:bookmarkStart w:id="9" w:name="_Toc53920307"/>
      <w:r>
        <w:t>Głębokość ułożenia rurociągów  i sposób ułożenia</w:t>
      </w:r>
      <w:bookmarkEnd w:id="9"/>
    </w:p>
    <w:p w14:paraId="20E41304" w14:textId="77777777" w:rsidR="00B00FC0" w:rsidRDefault="00B00FC0" w:rsidP="00E27B0A">
      <w:pPr>
        <w:pStyle w:val="atre"/>
      </w:pPr>
      <w:r>
        <w:t xml:space="preserve">Przyjęto średnią głębokość ułożenia rurociągu 1,50 m  </w:t>
      </w:r>
      <w:proofErr w:type="spellStart"/>
      <w:r>
        <w:t>ppt</w:t>
      </w:r>
      <w:proofErr w:type="spellEnd"/>
      <w:r>
        <w:t xml:space="preserve">.  Głębokość bezwzględna   wykopu powinna uwzględniać wykonanie na całej szerokości wykopu podsypki piaskowej, wyrównującej podłoże dna o grubości 15 cm tzn. głębokość winna wynosić 1, 65 m. </w:t>
      </w:r>
    </w:p>
    <w:p w14:paraId="68BA4982" w14:textId="77777777" w:rsidR="00B00FC0" w:rsidRDefault="00B00FC0" w:rsidP="00E27B0A">
      <w:pPr>
        <w:pStyle w:val="atre"/>
      </w:pPr>
      <w:r>
        <w:t xml:space="preserve">Przewiduje się wykonanie rurociągu metodą </w:t>
      </w:r>
      <w:proofErr w:type="spellStart"/>
      <w:r>
        <w:t>bezrozkopową</w:t>
      </w:r>
      <w:proofErr w:type="spellEnd"/>
      <w:r>
        <w:t xml:space="preserve"> za pomocą przewiertu sterowanego.</w:t>
      </w:r>
    </w:p>
    <w:p w14:paraId="4DA2DDE3" w14:textId="7618A7D0" w:rsidR="00B00FC0" w:rsidRDefault="00E27B0A" w:rsidP="00E27B0A">
      <w:pPr>
        <w:pStyle w:val="apunkt111"/>
      </w:pPr>
      <w:bookmarkStart w:id="10" w:name="_Toc53920308"/>
      <w:r>
        <w:t>Uzbrojenie rurociągu</w:t>
      </w:r>
      <w:bookmarkEnd w:id="10"/>
    </w:p>
    <w:p w14:paraId="7C272940" w14:textId="4F264E2F" w:rsidR="00B00FC0" w:rsidRDefault="00B00FC0" w:rsidP="00E27B0A">
      <w:pPr>
        <w:pStyle w:val="atre"/>
      </w:pPr>
      <w:r>
        <w:t xml:space="preserve">Uzbrojenie projektowanej sieci wodociągowej stanowią zasuwy odcinające oraz hydranty      przeciwpożarowe. Zastosowano zasuwy kołnierzowe klinowe miękko uszczelniające z gładkim i wolnym przelotem. W skład kompletu z zasuwą wchodzi obudowa teleskopowa i skrzynka uliczna. Dla zabezpieczenia przeciwpożarowego zastosowano hydranty przeciwpożarowe nadziemne z podwójnym zamknięciem. Należy zamontować hydranty przeciwpożarowe nadziemne DN 80 mm. Hydranty należy zamontować na kolanie dwukołnierzowym ze stopką (kształtka N o średnicy DN 80 mm) z zasuwą odcinającą DN 80 mm. W skład kompletu z zasuwą montowaną przed hydrantem wchodzi obudowa teleskopowa i skrzynka uliczna.  </w:t>
      </w:r>
    </w:p>
    <w:p w14:paraId="0B923872" w14:textId="77777777" w:rsidR="009F47DE" w:rsidRDefault="009F47DE" w:rsidP="00E27B0A">
      <w:pPr>
        <w:pStyle w:val="atre"/>
      </w:pPr>
    </w:p>
    <w:p w14:paraId="056669A6" w14:textId="5B16F1D0" w:rsidR="00B00FC0" w:rsidRDefault="00E27B0A" w:rsidP="00E27B0A">
      <w:pPr>
        <w:pStyle w:val="apunkt111"/>
      </w:pPr>
      <w:bookmarkStart w:id="11" w:name="_Toc53920309"/>
      <w:r>
        <w:lastRenderedPageBreak/>
        <w:t>Wykopy, układanie rurociągu i zasypy</w:t>
      </w:r>
      <w:bookmarkEnd w:id="11"/>
      <w:r w:rsidR="00B00FC0">
        <w:t xml:space="preserve">   </w:t>
      </w:r>
    </w:p>
    <w:p w14:paraId="44EFC046" w14:textId="77777777" w:rsidR="00B00FC0" w:rsidRDefault="00B00FC0" w:rsidP="00E27B0A">
      <w:pPr>
        <w:pStyle w:val="atre"/>
      </w:pPr>
      <w:r>
        <w:t xml:space="preserve">Roboty ziemne należy wykonywać zgodnie z normą PN-B-06050.Całość robót należy prowadzić zgodnie z przedmiotową dokumentacją projektową oraz Warunkami technicznymi wykonania i odbioru robót budowlano – montażowych część II. </w:t>
      </w:r>
    </w:p>
    <w:p w14:paraId="3CB01565" w14:textId="77777777" w:rsidR="00B00FC0" w:rsidRDefault="00B00FC0" w:rsidP="00E27B0A">
      <w:pPr>
        <w:pStyle w:val="atre"/>
      </w:pPr>
      <w:r>
        <w:t xml:space="preserve">Podczas wykonywania robót należy zwrócić szczególną uwagę na zabezpieczenie (zgodnie z przepisami wykonawstwa i BHP) wykopów i terenu podczas realizacji. Z uwagi na znaczne zagospodarowanie terenu oraz gęstą sieć istniejącego uzbrojenia podziemnego zaprojektowano wykonie sieci wodociągowej w wykopach otwartych wąsko przestrzennych zabezpieczonych szalunkiem W wykopach otwartych rurociągi należy układać na 15 cm podsypce piaskowej. Podłoże należy przygotować wykonując podłużne wyprofilowanie od dna w obrębie kąta 90. Ułożone  rurociągi należ zasypać piaskiem 30 cm ponad wierzch rury – </w:t>
      </w:r>
      <w:proofErr w:type="spellStart"/>
      <w:r>
        <w:t>obsypka</w:t>
      </w:r>
      <w:proofErr w:type="spellEnd"/>
      <w:r>
        <w:t xml:space="preserve"> ochronna. Warstwę ochronną rurociągu do czasu wykonania próby szczelności rurociągu należy wykonać z wyłączeniem odcinków połączeń rur i kształtek. Następnie należy ułożyć taśmę znakującą koloru niebieskiego z wkładką metalową. Taśmę należy wyprowadzić do każdej skrzynki ulicznej zasuw. Resztę wykopu należy zasypywać warstwami o grubości 30 cm, gruntem rodzimym bez grud i kamieni. </w:t>
      </w:r>
    </w:p>
    <w:p w14:paraId="4A31A6F9" w14:textId="77777777" w:rsidR="00B00FC0" w:rsidRDefault="00B00FC0" w:rsidP="00E27B0A">
      <w:pPr>
        <w:pStyle w:val="atre"/>
      </w:pPr>
      <w:r>
        <w:t xml:space="preserve">Urobek ziemny z  wykopów, składany będzie po jednej stronie wykopu w odległości co najmniej 0, 60 m od krawędzi wykopu. Bloki podporowe należy wykonać co najmniej 6 dni wcześniej przed poddaniem przewodu próbie ciśnienia.  Lokalizację zasuw i hydrantów przeciwpożarowych należy trwale oznakować za pomocą typowych tabliczek. Hydranty naziemne przeciwpożarowe i zasuwy należy wyposażyć w skrzynki i </w:t>
      </w:r>
      <w:proofErr w:type="spellStart"/>
      <w:r>
        <w:t>obrukować</w:t>
      </w:r>
      <w:proofErr w:type="spellEnd"/>
      <w:r>
        <w:t xml:space="preserve">. Skrzynki do zasuw należy osadzić na podstawie stabilizującej.  Dla wykonania wodociągu założono pas budowlano-montażowy o szerokości b = 3, 0 m. Wykopy przyjęto wykonać: </w:t>
      </w:r>
    </w:p>
    <w:p w14:paraId="6DDF6BC8" w14:textId="5A0CD8C5" w:rsidR="00B00FC0" w:rsidRDefault="00B00FC0" w:rsidP="00E27B0A">
      <w:pPr>
        <w:pStyle w:val="atrepunktowanie"/>
      </w:pPr>
      <w:r>
        <w:t xml:space="preserve">Sposobem mechanicznym 80 %, </w:t>
      </w:r>
    </w:p>
    <w:p w14:paraId="2F36C2E1" w14:textId="22D684AC" w:rsidR="00B00FC0" w:rsidRDefault="00B00FC0" w:rsidP="00E27B0A">
      <w:pPr>
        <w:pStyle w:val="atrepunktowanie"/>
      </w:pPr>
      <w:r>
        <w:t xml:space="preserve">Sposobem ręcznym 20 %. </w:t>
      </w:r>
    </w:p>
    <w:p w14:paraId="62DF08E1" w14:textId="77777777" w:rsidR="00B00FC0" w:rsidRDefault="00B00FC0" w:rsidP="00E27B0A">
      <w:pPr>
        <w:pStyle w:val="atre"/>
      </w:pPr>
      <w:r>
        <w:t xml:space="preserve">Należy bezwzględnie zwrócić uwagę na przywrócenie terenu do stanu pierwotnego, nie dopuścić do zniszczeni humusu poprzez przemieszanie go z głębiej położonymi warstwami.   </w:t>
      </w:r>
    </w:p>
    <w:p w14:paraId="21648318" w14:textId="4B9693BD" w:rsidR="00B00FC0" w:rsidRDefault="00E27B0A" w:rsidP="00E27B0A">
      <w:pPr>
        <w:pStyle w:val="apunkt11"/>
      </w:pPr>
      <w:bookmarkStart w:id="12" w:name="_Toc53920310"/>
      <w:r>
        <w:t>Likwidacja placu budowy</w:t>
      </w:r>
      <w:bookmarkEnd w:id="12"/>
    </w:p>
    <w:p w14:paraId="28060404" w14:textId="77777777" w:rsidR="00B00FC0" w:rsidRDefault="00B00FC0" w:rsidP="00E27B0A">
      <w:pPr>
        <w:pStyle w:val="atre"/>
      </w:pPr>
      <w:r>
        <w:t>Wykonawca jest zobowiązany do likwidacji placu budowy i pełnego uporządkowania terenu wokół niego. Uprzątnięcie terenu stanowi wymóg określony przepisami administracyjnymi o porządku.</w:t>
      </w:r>
    </w:p>
    <w:p w14:paraId="43F7053E" w14:textId="5256D83B" w:rsidR="00B00FC0" w:rsidRPr="00E27B0A" w:rsidRDefault="00B00FC0" w:rsidP="00B00FC0">
      <w:pPr>
        <w:pStyle w:val="apunkt1"/>
      </w:pPr>
      <w:bookmarkStart w:id="13" w:name="_Toc53920311"/>
      <w:r>
        <w:t>KONTROLA JAKOŚCI ROBÓT</w:t>
      </w:r>
      <w:bookmarkEnd w:id="13"/>
    </w:p>
    <w:p w14:paraId="7690F463" w14:textId="466EA665" w:rsidR="00B00FC0" w:rsidRDefault="00E27B0A" w:rsidP="00E27B0A">
      <w:pPr>
        <w:pStyle w:val="apunkt11"/>
      </w:pPr>
      <w:bookmarkStart w:id="14" w:name="_Toc53920312"/>
      <w:r>
        <w:t>Ogólne zasady dotyczące kontroli jakości robót</w:t>
      </w:r>
      <w:bookmarkEnd w:id="14"/>
    </w:p>
    <w:p w14:paraId="31FC6424" w14:textId="6E6240AE" w:rsidR="00B00FC0" w:rsidRDefault="00BE5F1D" w:rsidP="00E27B0A">
      <w:pPr>
        <w:pStyle w:val="apunkt111"/>
      </w:pPr>
      <w:bookmarkStart w:id="15" w:name="_Toc53920313"/>
      <w:r>
        <w:t>Zasady kontroli jakości robót</w:t>
      </w:r>
      <w:bookmarkEnd w:id="15"/>
    </w:p>
    <w:p w14:paraId="3A9A7B64" w14:textId="77777777" w:rsidR="00B00FC0" w:rsidRDefault="00B00FC0" w:rsidP="00E27B0A">
      <w:pPr>
        <w:pStyle w:val="atre"/>
      </w:pPr>
      <w:r>
        <w:t>Wykonawca jest odpowiedzialny za pełną kontrolę robót i jakości materiałów. Wykonawca będzie przeprowadzał pomiary i badania materiałów oraz robót z częstotliwością zapewniającą stwierdzenie, że roboty wykonano zgodnie z wymaganiami zawartymi w ST. Inspektor nadzoru ustali, jaki zakres kontroli jest konieczny, aby zapewnić wykonanie robót zgodnie z umową. Materiały będą dostarczone na plac budowy w oryginalnych opakowaniach producenta wraz z opisem ich stosowania i opisem spełnienia norm oraz będą materiałami I kategorii (gatunku).Na każde żądanie zamawiającego materiały użyte do prac zostaną poddane badaniom na koszt wykonawcy w miejscu produkcji, na placu wykonywanych prac lub też w określonym przez zamawiającego miejscu.</w:t>
      </w:r>
    </w:p>
    <w:p w14:paraId="537C7BA7" w14:textId="384F8585" w:rsidR="00B00FC0" w:rsidRDefault="00BE5F1D" w:rsidP="00BE5F1D">
      <w:pPr>
        <w:pStyle w:val="apunkt111"/>
      </w:pPr>
      <w:bookmarkStart w:id="16" w:name="_Toc53920314"/>
      <w:r>
        <w:t>Inspektor nadzoru ze strony zamawiającego</w:t>
      </w:r>
      <w:bookmarkEnd w:id="16"/>
      <w:r w:rsidR="00B00FC0">
        <w:t xml:space="preserve"> </w:t>
      </w:r>
    </w:p>
    <w:p w14:paraId="69A084B7" w14:textId="77777777" w:rsidR="00B00FC0" w:rsidRDefault="00B00FC0" w:rsidP="00BE5F1D">
      <w:pPr>
        <w:pStyle w:val="atre"/>
      </w:pPr>
      <w:r>
        <w:t>Inspektor nadzoru w ramach posiadanego umocowania od zamawiającego reprezentuje interesy zamawiającego na budowie przez sprawowanie kontroli zgodności realizacji robót budowlanych z projektem budowlanym, specyfikacją techniczną, przepisami, zasadami wiedzy technicznej oraz postanowieniami warunków umowy. Wydawane przez niego polecenia mają moc poleceń zamawiającego.</w:t>
      </w:r>
    </w:p>
    <w:p w14:paraId="4E105285" w14:textId="5A3DD379" w:rsidR="00B00FC0" w:rsidRDefault="00BE5F1D" w:rsidP="00BE5F1D">
      <w:pPr>
        <w:pStyle w:val="apunkt111"/>
      </w:pPr>
      <w:bookmarkStart w:id="17" w:name="_Toc53920315"/>
      <w:r>
        <w:t>Pobieranie próbek</w:t>
      </w:r>
      <w:bookmarkEnd w:id="17"/>
    </w:p>
    <w:p w14:paraId="633AA3B0" w14:textId="77777777" w:rsidR="00B00FC0" w:rsidRDefault="00B00FC0" w:rsidP="00BE5F1D">
      <w:pPr>
        <w:pStyle w:val="atre"/>
      </w:pPr>
      <w:r>
        <w:t xml:space="preserve">Na zlecenie inspektora nadzoru, wykonawca będzie przeprowadzał dodatkowe badania tych materiałów, które budzą wątpliwości co do jakości, a nie kwestionowane materiały nie zostaną przez wykonawcę usunięte lub ulepszone z własnej woli. Inspektor nadzoru będzie miał zapewnioną </w:t>
      </w:r>
      <w:r>
        <w:lastRenderedPageBreak/>
        <w:t xml:space="preserve">możliwość udziału w pobieraniu próbek. Koszty dodatkowych badań pokrywa wykonawca tylko w przypadku stwierdzenia usterek; </w:t>
      </w:r>
    </w:p>
    <w:p w14:paraId="5BA67BF1" w14:textId="77777777" w:rsidR="00B00FC0" w:rsidRDefault="00B00FC0" w:rsidP="00BE5F1D">
      <w:pPr>
        <w:pStyle w:val="atre"/>
      </w:pPr>
      <w:r>
        <w:t>w przeciwnym razie koszty te pokrywa zamawiający. 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14:paraId="1CEDA0B3" w14:textId="680DDA6B" w:rsidR="00B00FC0" w:rsidRDefault="00BE5F1D" w:rsidP="00BE5F1D">
      <w:pPr>
        <w:pStyle w:val="apunkt111"/>
      </w:pPr>
      <w:bookmarkStart w:id="18" w:name="_Toc53920316"/>
      <w:r>
        <w:t>Certyfikaty i deklaracje</w:t>
      </w:r>
      <w:bookmarkEnd w:id="18"/>
    </w:p>
    <w:p w14:paraId="633AA5D4" w14:textId="77777777" w:rsidR="00B00FC0" w:rsidRDefault="00B00FC0" w:rsidP="00BE5F1D">
      <w:pPr>
        <w:pStyle w:val="atre"/>
      </w:pPr>
      <w:r>
        <w:t>Inspektor nadzoru może dopuścić do użycia tylko te materiały, które spełniają wymagania Prawa Budowlanego oraz innych przepisów wymienionych w pkt. 10 ST, a w szczególności materiały posiadające:</w:t>
      </w:r>
    </w:p>
    <w:p w14:paraId="5BF895B3" w14:textId="128E0D29" w:rsidR="00B00FC0" w:rsidRDefault="00B00FC0" w:rsidP="00BE5F1D">
      <w:pPr>
        <w:pStyle w:val="atrepunktowaniaabc"/>
      </w:pPr>
      <w:r>
        <w:t>certyfikat na znak bezpieczeństwa wykazujący, że zapewniona jest zgodność z kryteriami technicznymi określonymi na podstawie Polskich Norm, aprobat technicznych oraz właściwych przepisów i dokumentów technicznych,</w:t>
      </w:r>
    </w:p>
    <w:p w14:paraId="6A93CC24" w14:textId="6E9B8947" w:rsidR="00B00FC0" w:rsidRDefault="00B00FC0" w:rsidP="00BE5F1D">
      <w:pPr>
        <w:pStyle w:val="atrepunktowaniaabc"/>
      </w:pPr>
      <w:r>
        <w:t>deklaracje zgodności lub certyfikat zgodności z: Polską Normą lub aprobatą techniczną, w przypadku wyrobów, dla których nie ustanawiano Polskiej Normy jeżeli nie są objęte certyfikacją określoną w pkt. a, i które spełniają wymogi ST.</w:t>
      </w:r>
    </w:p>
    <w:p w14:paraId="430B724B" w14:textId="5FEE4926" w:rsidR="00B00FC0" w:rsidRDefault="00B00FC0" w:rsidP="00BE5F1D">
      <w:pPr>
        <w:pStyle w:val="atrepunktowaniaabc"/>
      </w:pPr>
      <w:r>
        <w:t>wyroby umieszczone w wykazie wyrobów nie mających istotnego wpływu na spełnienie wymagań podstawowych oraz wyroby wytwarzane i stosowane według tradycyjnie uznanych zasad sztuki budowlanej.</w:t>
      </w:r>
    </w:p>
    <w:p w14:paraId="292C92B2" w14:textId="77777777" w:rsidR="00B00FC0" w:rsidRDefault="00B00FC0" w:rsidP="00BE5F1D">
      <w:pPr>
        <w:pStyle w:val="atre"/>
      </w:pPr>
      <w:r>
        <w:t>Dopuszcza się do stosowania wyroby spełniające wymagania art. 10 ust. 2 i 3 Prawa Budowlanego - dopuszczone do jednostkowego stosowania. W przypadku materiałów, dla których zgodnie z powyższymi zasadami są wymagane określone  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 Jakiekolwiek materiały, które nie spełniają powyższych wymagań będą odrzucane.</w:t>
      </w:r>
    </w:p>
    <w:p w14:paraId="2E047C46" w14:textId="7B73D05B" w:rsidR="00B00FC0" w:rsidRDefault="00BE5F1D" w:rsidP="00BE5F1D">
      <w:pPr>
        <w:pStyle w:val="apunkt111"/>
      </w:pPr>
      <w:bookmarkStart w:id="19" w:name="_Toc53920317"/>
      <w:r>
        <w:t>Dokumenty budowy</w:t>
      </w:r>
      <w:bookmarkEnd w:id="19"/>
    </w:p>
    <w:p w14:paraId="7D205973" w14:textId="77777777" w:rsidR="00B00FC0" w:rsidRDefault="00B00FC0" w:rsidP="00BE5F1D">
      <w:pPr>
        <w:pStyle w:val="atre"/>
      </w:pPr>
      <w:r>
        <w:t>Do dokumentów realizacji robót  zalicza się następujące dokumenty:</w:t>
      </w:r>
    </w:p>
    <w:p w14:paraId="5D1490AE" w14:textId="45427958" w:rsidR="00B00FC0" w:rsidRDefault="00B00FC0" w:rsidP="00BE5F1D">
      <w:pPr>
        <w:pStyle w:val="atrepunktowanie"/>
      </w:pPr>
      <w:r>
        <w:t>protokoły przekazania terenu budowy,</w:t>
      </w:r>
    </w:p>
    <w:p w14:paraId="7331E941" w14:textId="15DAF041" w:rsidR="00B00FC0" w:rsidRDefault="00B00FC0" w:rsidP="00BE5F1D">
      <w:pPr>
        <w:pStyle w:val="atrepunktowanie"/>
      </w:pPr>
      <w:r>
        <w:t>umowy cywilno-prawne z osobami trzecimi i inne umowy cywilno-prawne, związane z przedmiotem zamówienia,</w:t>
      </w:r>
    </w:p>
    <w:p w14:paraId="5CCE51BB" w14:textId="4290201B" w:rsidR="00B00FC0" w:rsidRDefault="00B00FC0" w:rsidP="00BE5F1D">
      <w:pPr>
        <w:pStyle w:val="atrepunktowanie"/>
      </w:pPr>
      <w:r>
        <w:t>protokoły odbioru robót,</w:t>
      </w:r>
    </w:p>
    <w:p w14:paraId="72225B28" w14:textId="0B3FBDF1" w:rsidR="00B00FC0" w:rsidRDefault="00B00FC0" w:rsidP="00BE5F1D">
      <w:pPr>
        <w:pStyle w:val="atrepunktowanie"/>
      </w:pPr>
      <w:r>
        <w:t>korespondencja w czasie realizacji prac,</w:t>
      </w:r>
    </w:p>
    <w:p w14:paraId="2B1000C6" w14:textId="27666F3D" w:rsidR="00B00FC0" w:rsidRDefault="00B00FC0" w:rsidP="00BE5F1D">
      <w:pPr>
        <w:pStyle w:val="atrepunktowanie"/>
      </w:pPr>
      <w:r>
        <w:t>notatki i uzgodnienia,</w:t>
      </w:r>
    </w:p>
    <w:p w14:paraId="65475223" w14:textId="75AFE8B0" w:rsidR="00B00FC0" w:rsidRDefault="00B00FC0" w:rsidP="00BE5F1D">
      <w:pPr>
        <w:pStyle w:val="atre"/>
      </w:pPr>
      <w:r>
        <w:t>Dokumenty z realizacji prac będą przechowywane na terenie ich wykonywania w miejscu odpowiednio zabezpieczonym. Zaginięcie któregokolwiek z dokumentów spowoduje jego natychmiastowe odtworzenie w formie przewidzianej prawem. Wszelkie dokumenty będą zawsze dostępne dla inspektora nadzoru i przedstawiane do wglądu na życzenie zamawiającego.</w:t>
      </w:r>
    </w:p>
    <w:p w14:paraId="7F5D3EBF" w14:textId="66215903" w:rsidR="00B00FC0" w:rsidRPr="00BE5F1D" w:rsidRDefault="00B00FC0" w:rsidP="00B00FC0">
      <w:pPr>
        <w:pStyle w:val="apunkt1"/>
      </w:pPr>
      <w:bookmarkStart w:id="20" w:name="_Toc53920318"/>
      <w:r>
        <w:t>OBMIAR ROBÓT</w:t>
      </w:r>
      <w:bookmarkEnd w:id="20"/>
    </w:p>
    <w:p w14:paraId="373D33FA" w14:textId="1C9187FA" w:rsidR="00B00FC0" w:rsidRDefault="00BE5F1D" w:rsidP="00BE5F1D">
      <w:pPr>
        <w:pStyle w:val="apunkt11"/>
      </w:pPr>
      <w:bookmarkStart w:id="21" w:name="_Toc53920319"/>
      <w:r>
        <w:t>Ogólne zasady obmiaru robót</w:t>
      </w:r>
      <w:bookmarkEnd w:id="21"/>
    </w:p>
    <w:p w14:paraId="41FFCAC6" w14:textId="77777777" w:rsidR="00B00FC0" w:rsidRDefault="00B00FC0" w:rsidP="00BE5F1D">
      <w:pPr>
        <w:pStyle w:val="atre"/>
      </w:pPr>
      <w:r>
        <w:t>Obmiar robót będzie określać faktyczny zakres wykonywanych robót zgodnie z przedmiarem i ST w jednostkach zgodnych z przedmiarem o ile Inspektor nadzoru nie zaleci inaczej.</w:t>
      </w:r>
    </w:p>
    <w:p w14:paraId="0D12D650" w14:textId="77777777" w:rsidR="00B00FC0" w:rsidRDefault="00B00FC0" w:rsidP="00BE5F1D">
      <w:pPr>
        <w:pStyle w:val="atre"/>
      </w:pPr>
      <w:r>
        <w:t xml:space="preserve">Obmiaru robót dokonuje wykonawca po powiadomieniu Inspektora nadzoru o zakresie obmierzanych robót i terminie obmiaru, co najmniej 3 dni przed tym terminem. Za zgodą Inspektora nadzoru termin powiadomienia może być krótszy. </w:t>
      </w:r>
    </w:p>
    <w:p w14:paraId="26B4805F" w14:textId="1B9D8AA8" w:rsidR="00B00FC0" w:rsidRDefault="00BE5F1D" w:rsidP="00BE5F1D">
      <w:pPr>
        <w:pStyle w:val="apunkt11"/>
      </w:pPr>
      <w:bookmarkStart w:id="22" w:name="_Toc53920320"/>
      <w:r>
        <w:t>Urządzenia i sprzęt pomiarowy</w:t>
      </w:r>
      <w:bookmarkEnd w:id="22"/>
    </w:p>
    <w:p w14:paraId="75AD9706" w14:textId="77777777" w:rsidR="00B00FC0" w:rsidRDefault="00B00FC0" w:rsidP="00BE5F1D">
      <w:pPr>
        <w:pStyle w:val="atre"/>
      </w:pPr>
      <w:r>
        <w:t xml:space="preserve">Wszystkie urządzenia i sprzęt pomiarowy, stosowany w czasie obmiaru robót powinny być zaakceptowane przez inspektora nadzoru. Urządzenia i sprzęt pomiarowy będą dostarczane przez wykonawcę. Jeżeli urządzenia lub sprzęt wymagają kalibracji, badań atestujących lub innych wymaganych przez ST to wykonawca będzie posiadać ważne świadectwa wymaganych badań. </w:t>
      </w:r>
      <w:r>
        <w:lastRenderedPageBreak/>
        <w:t>Wszystkie urządzenia pomiarowe będą przez wykonawcę utrzymywane w dobrym stanie, w całym okresie trwania robót.</w:t>
      </w:r>
    </w:p>
    <w:p w14:paraId="1F87AB35" w14:textId="3EEEAA11" w:rsidR="00B00FC0" w:rsidRDefault="00BE5F1D" w:rsidP="00BE5F1D">
      <w:pPr>
        <w:pStyle w:val="apunkt11"/>
      </w:pPr>
      <w:bookmarkStart w:id="23" w:name="_Toc53920321"/>
      <w:r>
        <w:t>Czas przeprowadzania obmiaru</w:t>
      </w:r>
      <w:bookmarkEnd w:id="23"/>
    </w:p>
    <w:p w14:paraId="32BFC4A1" w14:textId="77777777" w:rsidR="00B00FC0" w:rsidRDefault="00B00FC0" w:rsidP="00BE5F1D">
      <w:pPr>
        <w:pStyle w:val="atre"/>
      </w:pPr>
      <w:r>
        <w:t>Obmiary będą przeprowadzane przed częściowym lub końcowym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w:t>
      </w:r>
    </w:p>
    <w:p w14:paraId="1CB84063" w14:textId="2CC71F5F" w:rsidR="00B00FC0" w:rsidRPr="00680A86" w:rsidRDefault="00B00FC0" w:rsidP="00B00FC0">
      <w:pPr>
        <w:pStyle w:val="apunkt1"/>
      </w:pPr>
      <w:bookmarkStart w:id="24" w:name="_Toc53920322"/>
      <w:r>
        <w:t>ODBIÓR ROBÓT</w:t>
      </w:r>
      <w:bookmarkEnd w:id="24"/>
    </w:p>
    <w:p w14:paraId="638AE8B0" w14:textId="047FFC47" w:rsidR="00B00FC0" w:rsidRDefault="00BE5F1D" w:rsidP="00BE5F1D">
      <w:pPr>
        <w:pStyle w:val="apunkt11"/>
      </w:pPr>
      <w:bookmarkStart w:id="25" w:name="_Toc53920323"/>
      <w:r>
        <w:t>Ogólne zasady dotyczące odbioru robót</w:t>
      </w:r>
      <w:bookmarkEnd w:id="25"/>
    </w:p>
    <w:p w14:paraId="3CFDD1E3" w14:textId="46D29FB3" w:rsidR="00680A86" w:rsidRDefault="00680A86" w:rsidP="00680A86">
      <w:pPr>
        <w:pStyle w:val="atre"/>
      </w:pPr>
      <w:r w:rsidRPr="00680A86">
        <w:t>Roboty uznaje się za wykonane zgodnie z dokumentacją projektową, SST , jeżeli wszystkie pomiary i badania z zachowaniem tolerancji dały wyniki pozytywne</w:t>
      </w:r>
    </w:p>
    <w:p w14:paraId="630D86CB" w14:textId="7961BCC6" w:rsidR="00B00FC0" w:rsidRDefault="00BE5F1D" w:rsidP="00BE5F1D">
      <w:pPr>
        <w:pStyle w:val="apunkt11"/>
      </w:pPr>
      <w:bookmarkStart w:id="26" w:name="_Toc53920324"/>
      <w:r>
        <w:t>Rodzaje odbiorów robót</w:t>
      </w:r>
      <w:bookmarkEnd w:id="26"/>
    </w:p>
    <w:p w14:paraId="18F9184D" w14:textId="77777777" w:rsidR="00B00FC0" w:rsidRDefault="00B00FC0" w:rsidP="00BE5F1D">
      <w:pPr>
        <w:pStyle w:val="atre"/>
      </w:pPr>
      <w:r>
        <w:t>Roboty podlegają następującym etapom odbioru robót:</w:t>
      </w:r>
    </w:p>
    <w:p w14:paraId="272613CC" w14:textId="592B9C7B" w:rsidR="00B00FC0" w:rsidRDefault="00B00FC0" w:rsidP="00BE5F1D">
      <w:pPr>
        <w:pStyle w:val="atrepunktowaniaabc"/>
        <w:numPr>
          <w:ilvl w:val="0"/>
          <w:numId w:val="11"/>
        </w:numPr>
      </w:pPr>
      <w:r>
        <w:t>odbiór robót zanikających i ulegających zakryciu,</w:t>
      </w:r>
    </w:p>
    <w:p w14:paraId="7AD23A12" w14:textId="791EFAE3" w:rsidR="00B00FC0" w:rsidRDefault="00B00FC0" w:rsidP="00BE5F1D">
      <w:pPr>
        <w:pStyle w:val="atrepunktowaniaabc"/>
      </w:pPr>
      <w:r>
        <w:t>odbiór końcowy,</w:t>
      </w:r>
    </w:p>
    <w:p w14:paraId="6E0AB0E2" w14:textId="348BDF5C" w:rsidR="00B00FC0" w:rsidRDefault="00B00FC0" w:rsidP="00BE5F1D">
      <w:pPr>
        <w:pStyle w:val="atrepunktowaniaabc"/>
      </w:pPr>
      <w:r>
        <w:t>odbiór pogwarancyjny.</w:t>
      </w:r>
    </w:p>
    <w:p w14:paraId="2B30C11E" w14:textId="044BD2A2" w:rsidR="00B00FC0" w:rsidRDefault="00BE5F1D" w:rsidP="00BE5F1D">
      <w:pPr>
        <w:pStyle w:val="apunkt111"/>
      </w:pPr>
      <w:bookmarkStart w:id="27" w:name="_Toc53920325"/>
      <w:r>
        <w:t>Odbiór robót zanikających lub ulegających zakryciu</w:t>
      </w:r>
      <w:bookmarkEnd w:id="27"/>
    </w:p>
    <w:p w14:paraId="086D6ED9" w14:textId="77777777" w:rsidR="00B00FC0" w:rsidRDefault="00B00FC0" w:rsidP="00BE5F1D">
      <w:pPr>
        <w:pStyle w:val="atre"/>
      </w:pPr>
      <w:r>
        <w:t>Do podstawowych obowiązków wykonawcy należy zgłoszenie inwestorowi do odbioru robót ulegających zakryciu lub zanikowych. Odbiór polega na ocenie ilości i jakości wykonanych robót, które w dalszym procesie realizacji ulegają zakryciu. Odbiór taki będzie przeprowadzony w czasie umożliwiającym wykonanie ewentualnych poprawek bez hamowania ogólnego postępu robót. Gotowość danej części robót do odbioru zgłasza pisemnie wykonawca zamawiającemu. Odbioru wyżej wymienionego dokonuje inspektor nadzoru określony przez zamawiającego. Odbiór będzie przeprowadzony niezwłocznie, nie później jednak niż w ciągu 3 dni od daty zgłoszenia.</w:t>
      </w:r>
    </w:p>
    <w:p w14:paraId="6942313A" w14:textId="6BDC259F" w:rsidR="00B00FC0" w:rsidRDefault="00BE5F1D" w:rsidP="00BE5F1D">
      <w:pPr>
        <w:pStyle w:val="apunkt111"/>
      </w:pPr>
      <w:bookmarkStart w:id="28" w:name="_Toc53920326"/>
      <w:r>
        <w:t>Odbiór końcowy robót</w:t>
      </w:r>
      <w:bookmarkEnd w:id="28"/>
    </w:p>
    <w:p w14:paraId="2B677954" w14:textId="77777777" w:rsidR="00B00FC0" w:rsidRDefault="00B00FC0" w:rsidP="00BE5F1D">
      <w:pPr>
        <w:pStyle w:val="atre"/>
      </w:pPr>
      <w:r>
        <w:t>Odbiór końcowy polega na finalnej ocenie rzeczywistego wykonania robót w odniesieniu do ich ilości, jakości i wartości. Całkowite zakończenie robót oraz gotowość do odbioru końcowego będzie stwierdzona przez wykonawcę pisemnym powiadomieniem inspektora nadzoru. Odbiór końcowy robót nastąpi w terminie ustalonym w dokumentach umowy, licząc od dnia potwierdzenia przez inspektora nadzoru zakończenia robót i przyjęcia n/w dokumentów:</w:t>
      </w:r>
    </w:p>
    <w:p w14:paraId="3BA65DA3" w14:textId="77777777" w:rsidR="00B00FC0" w:rsidRDefault="00B00FC0" w:rsidP="00BE5F1D">
      <w:pPr>
        <w:pStyle w:val="atrepunktowanie"/>
      </w:pPr>
      <w:r>
        <w:t>protokół odbioru robót zanikowych i ulegających zakryciu</w:t>
      </w:r>
    </w:p>
    <w:p w14:paraId="7863130C" w14:textId="77777777" w:rsidR="00B00FC0" w:rsidRDefault="00B00FC0" w:rsidP="00BE5F1D">
      <w:pPr>
        <w:pStyle w:val="atrepunktowanie"/>
      </w:pPr>
      <w:r>
        <w:t>Oświadczenie kierownika budowy</w:t>
      </w:r>
    </w:p>
    <w:p w14:paraId="0BDEB597" w14:textId="77777777" w:rsidR="00B00FC0" w:rsidRDefault="00B00FC0" w:rsidP="00BE5F1D">
      <w:pPr>
        <w:pStyle w:val="atrepunktowanie"/>
      </w:pPr>
      <w:r>
        <w:t>Uprawnienia budowlane i przynależność do PIIB</w:t>
      </w:r>
    </w:p>
    <w:p w14:paraId="79E909A4" w14:textId="77777777" w:rsidR="00B00FC0" w:rsidRDefault="00B00FC0" w:rsidP="00BE5F1D">
      <w:pPr>
        <w:pStyle w:val="atrepunktowanie"/>
      </w:pPr>
      <w:r>
        <w:t>Inwentaryzacja powykonawcza</w:t>
      </w:r>
    </w:p>
    <w:p w14:paraId="7C23C3B9" w14:textId="77777777" w:rsidR="00B00FC0" w:rsidRDefault="00B00FC0" w:rsidP="00BE5F1D">
      <w:pPr>
        <w:pStyle w:val="atrepunktowanie"/>
      </w:pPr>
      <w:r>
        <w:t>Kopia pozwolenia na budowę</w:t>
      </w:r>
    </w:p>
    <w:p w14:paraId="031886D3" w14:textId="77777777" w:rsidR="00B00FC0" w:rsidRDefault="00B00FC0" w:rsidP="00BE5F1D">
      <w:pPr>
        <w:pStyle w:val="atrepunktowanie"/>
      </w:pPr>
      <w:r>
        <w:t>Kopia planu zagospodarowania z naniesionymi nieistotnymi odstępstwami</w:t>
      </w:r>
    </w:p>
    <w:p w14:paraId="5EF8EE72" w14:textId="77777777" w:rsidR="00B00FC0" w:rsidRDefault="00B00FC0" w:rsidP="00BE5F1D">
      <w:pPr>
        <w:pStyle w:val="atrepunktowanie"/>
      </w:pPr>
      <w:r>
        <w:t>Protokoły z prób i sprawdzeń</w:t>
      </w:r>
    </w:p>
    <w:p w14:paraId="0EE06230" w14:textId="77777777" w:rsidR="00B00FC0" w:rsidRDefault="00B00FC0" w:rsidP="00BE5F1D">
      <w:pPr>
        <w:pStyle w:val="atrepunktowanie"/>
      </w:pPr>
      <w:r>
        <w:t>Atesty higieniczne i deklaracje zgodności zastosowanych materiałów (podpisane za zgodność przez kierownika budowy)</w:t>
      </w:r>
    </w:p>
    <w:p w14:paraId="596F8CB0" w14:textId="0997F450" w:rsidR="00B00FC0" w:rsidRDefault="00B00FC0" w:rsidP="00BE5F1D">
      <w:pPr>
        <w:pStyle w:val="atrepunktowanie"/>
      </w:pPr>
      <w:r>
        <w:t>Dokumentację do PPIS w Koninie z wynikami badań wody zgodnymi z Rozporządzeniem Ministra Zdrowia w sprawie jakości wody przeznaczonej do spożycia przez ludzi z dnia 27.11.2015 poz. 1989 celem uzyskania oceny higienicznej</w:t>
      </w:r>
    </w:p>
    <w:p w14:paraId="277521FE" w14:textId="77777777" w:rsidR="00B00FC0" w:rsidRDefault="00B00FC0" w:rsidP="00BE5F1D">
      <w:pPr>
        <w:pStyle w:val="atre"/>
      </w:pPr>
      <w:r>
        <w:t>Odbioru końcowego robót dokona komisja wyznaczona przez zamawiającego w obecności użytkownika obiektu, inspektora nadzoru i wykonawcy. Komisja odbierająca roboty dokona ich oceny jakościowej na podstawie przedłożonych dokumentów, wyników badań i pomiarów, ocenie wizualnej oraz zgodności wykonania robót z projektem budowlanym i ST. W toku odbioru końcowego robót komisja zapozna się z realizacją ustaleń przyjętych w trakcie odbiorów robót zanikających i ulegających zakryciu, zwłaszcza w zakresie wykonania robót poprawkowych.</w:t>
      </w:r>
    </w:p>
    <w:p w14:paraId="53A5CFE2" w14:textId="77777777" w:rsidR="00B00FC0" w:rsidRDefault="00B00FC0" w:rsidP="00BE5F1D">
      <w:pPr>
        <w:pStyle w:val="atre"/>
      </w:pPr>
      <w:r>
        <w:lastRenderedPageBreak/>
        <w:t>W przypadkach niewykonania wyznaczonych robót poprawkowych i robót wykończeniowych, komisja przerwie swoje czynności i ustali nowy termin odbioru końcowego. W przypadku stwierdzenia przez komisję, że jakość wykonywanych robót w poszczególnych asortymentach nieznacznie odbiega od wymaganej ST z uwzględnieniem tolerancji i nie ma większego wpływu na cechy eksploatacyjne obiektu, komisja dokona potrąceń, oceniając pomniejszoną wartość wykonywanych robót w stosunku do wymagań przyjętych w dokumentach umowy. Jeżeli chociaż jedno z przeprowadzonych badań da wynik ujemny należy uznać, że roboty zostały wykonane niezgodnie z normą. W takim przypadku należy doprowadzić roboty do stanu spełniającego wymagania norm i ponownie przedstawić do odbioru. Z przeprowadzonego odbioru należy sporządzić protokół odbioru robót.</w:t>
      </w:r>
    </w:p>
    <w:p w14:paraId="1B24FD4D" w14:textId="77777777" w:rsidR="00B00FC0" w:rsidRDefault="00B00FC0" w:rsidP="00BE5F1D">
      <w:pPr>
        <w:pStyle w:val="atre"/>
      </w:pPr>
      <w:r>
        <w:t>W przypadku, gdy wg komisji, roboty pod względem przygotowania dokumentacyjnego nie będą gotowe do odbioru końcowego, komisja w porozumieniu z wykonawcą wyznaczy ponowny termin odbioru końcowego robót. Wszystkie zarządzane przez komisję roboty poprawkowe będą zestawione wg wzoru ustalonego przez zamawiającego. Termin wykonania robót poprawkowych wyznaczy komisja.</w:t>
      </w:r>
    </w:p>
    <w:p w14:paraId="75163189" w14:textId="208AF9A3" w:rsidR="00B00FC0" w:rsidRDefault="00BE5F1D" w:rsidP="00BE5F1D">
      <w:pPr>
        <w:pStyle w:val="apunkt111"/>
      </w:pPr>
      <w:bookmarkStart w:id="29" w:name="_Toc53920327"/>
      <w:r>
        <w:t>Odbiór końcowy – pogwarancyjny</w:t>
      </w:r>
      <w:bookmarkEnd w:id="29"/>
    </w:p>
    <w:p w14:paraId="4E1DDC22" w14:textId="3B6946D1" w:rsidR="00B00FC0" w:rsidRPr="00680A86" w:rsidRDefault="00B00FC0" w:rsidP="00680A86">
      <w:pPr>
        <w:pStyle w:val="atre"/>
      </w:pPr>
      <w:r>
        <w:t>Odbiór pogwarancyjny polega na ocenie wykonanych robót związanych z usunięciem wad stwierdzonych przy odbiorze końcowym i zaistniałych w okresie gwarancyjnym. Odbiór  pogwarancyjny  będzie   dokonany   na  podstawie   oceny  wizualnej   obiektu z uwzględnieniem zasad opisanych w punkcie 8.1.3. „Odbiór końcowy robót".</w:t>
      </w:r>
    </w:p>
    <w:p w14:paraId="224E2DDA" w14:textId="284ED643" w:rsidR="00B00FC0" w:rsidRPr="00680A86" w:rsidRDefault="00B00FC0" w:rsidP="00B00FC0">
      <w:pPr>
        <w:pStyle w:val="apunkt1"/>
      </w:pPr>
      <w:bookmarkStart w:id="30" w:name="_Toc53920328"/>
      <w:r>
        <w:t>PODSTAWA PŁATNOŚCI</w:t>
      </w:r>
      <w:bookmarkEnd w:id="30"/>
    </w:p>
    <w:p w14:paraId="5888B9C4" w14:textId="77777777" w:rsidR="00680A86" w:rsidRDefault="00680A86" w:rsidP="00680A86">
      <w:pPr>
        <w:pStyle w:val="atre"/>
      </w:pPr>
    </w:p>
    <w:p w14:paraId="2C41B9EC" w14:textId="737E8A33" w:rsidR="00B00FC0" w:rsidRDefault="00B00FC0" w:rsidP="00680A86">
      <w:pPr>
        <w:pStyle w:val="atre"/>
      </w:pPr>
      <w:r>
        <w:t>Szczegółowe zasady rozliczania i płatności za wykonane roboty zostaną określone w umowie zawartej pomiędzy zamawiającym i wybranym wykonawcą.</w:t>
      </w:r>
    </w:p>
    <w:p w14:paraId="6B9C27A3" w14:textId="09DB94F1" w:rsidR="00B00FC0" w:rsidRPr="00680A86" w:rsidRDefault="00B00FC0" w:rsidP="00B00FC0">
      <w:pPr>
        <w:pStyle w:val="apunkt1"/>
      </w:pPr>
      <w:bookmarkStart w:id="31" w:name="_Toc53920329"/>
      <w:r>
        <w:t>PRZEPISY ZWIĄZANE  Z REALIZACJĄ ZADANIA:</w:t>
      </w:r>
      <w:bookmarkEnd w:id="31"/>
    </w:p>
    <w:p w14:paraId="60A9981E" w14:textId="11C4C249" w:rsidR="00B00FC0" w:rsidRDefault="00680A86" w:rsidP="00680A86">
      <w:pPr>
        <w:pStyle w:val="apunkt11"/>
      </w:pPr>
      <w:bookmarkStart w:id="32" w:name="_Toc53920330"/>
      <w:r>
        <w:t>Ustawy</w:t>
      </w:r>
      <w:r w:rsidR="00B00FC0">
        <w:rPr>
          <w:rFonts w:cs="Times New Roman"/>
        </w:rPr>
        <w:t>:</w:t>
      </w:r>
      <w:bookmarkEnd w:id="32"/>
      <w:r w:rsidR="00B00FC0">
        <w:rPr>
          <w:rFonts w:cs="Times New Roman"/>
        </w:rPr>
        <w:t xml:space="preserve"> </w:t>
      </w:r>
    </w:p>
    <w:p w14:paraId="653D9322" w14:textId="62ABFB26" w:rsidR="00B00FC0" w:rsidRDefault="00B00FC0" w:rsidP="00680A86">
      <w:pPr>
        <w:pStyle w:val="atrepunktowanie"/>
      </w:pPr>
      <w:r>
        <w:t>ustawa z dnia 7 lipca 1994 Prawo budowlane (tekst jednolity Dz. U. z 2020r poz. 1333.)</w:t>
      </w:r>
    </w:p>
    <w:p w14:paraId="06427033" w14:textId="7ACED9E3" w:rsidR="00B00FC0" w:rsidRDefault="00B00FC0" w:rsidP="00680A86">
      <w:pPr>
        <w:pStyle w:val="atrepunktowanie"/>
      </w:pPr>
      <w:r>
        <w:t xml:space="preserve">Ustawa  z  dnia  29  stycznia  2004  r.  –  Prawo  zamówień  publicznych  (Dz.  U.  Nr 19, poz. 177 z </w:t>
      </w:r>
      <w:proofErr w:type="spellStart"/>
      <w:r>
        <w:t>późn</w:t>
      </w:r>
      <w:proofErr w:type="spellEnd"/>
      <w:r>
        <w:t>. zm. )</w:t>
      </w:r>
    </w:p>
    <w:p w14:paraId="3DD6F6C5" w14:textId="6C89C7AF" w:rsidR="00B00FC0" w:rsidRDefault="00B00FC0" w:rsidP="00680A86">
      <w:pPr>
        <w:pStyle w:val="atrepunktowanie"/>
      </w:pPr>
      <w:r>
        <w:t xml:space="preserve">Ustawa  z  dnia  16  kwietnia  2004  r.  –  o  wyrobach  budowlanych  (Dz.  U.  Nr   92, poz. 881). </w:t>
      </w:r>
    </w:p>
    <w:p w14:paraId="7AC5BDC7" w14:textId="7CBE65E7" w:rsidR="00B00FC0" w:rsidRDefault="00B00FC0" w:rsidP="00680A86">
      <w:pPr>
        <w:pStyle w:val="atrepunktowanie"/>
      </w:pPr>
      <w:r>
        <w:t xml:space="preserve">Ustawa  z  dnia  24  sierpnia  1991  r.  –  o  ochronie  przeciwpożarowej  (jednolity tekst Dz. U. z 2002 r. Nr 147, poz. 1229).  </w:t>
      </w:r>
    </w:p>
    <w:p w14:paraId="0F0E6FCF" w14:textId="2F584D53" w:rsidR="00B00FC0" w:rsidRDefault="00B00FC0" w:rsidP="00680A86">
      <w:pPr>
        <w:pStyle w:val="atrepunktowanie"/>
      </w:pPr>
      <w:r>
        <w:t xml:space="preserve">Ustawa  z  dnia  21  grudnia  20004  r.  –  o  dozorze  technicznym  (Dz.  U.  Nr   122, poz. 1321 z </w:t>
      </w:r>
      <w:proofErr w:type="spellStart"/>
      <w:r>
        <w:t>późn</w:t>
      </w:r>
      <w:proofErr w:type="spellEnd"/>
      <w:r>
        <w:t xml:space="preserve">. zm.). </w:t>
      </w:r>
    </w:p>
    <w:p w14:paraId="453B9F84" w14:textId="6060E61E" w:rsidR="00B00FC0" w:rsidRDefault="00B00FC0" w:rsidP="00680A86">
      <w:pPr>
        <w:pStyle w:val="atrepunktowanie"/>
      </w:pPr>
      <w:r>
        <w:t xml:space="preserve">Ustawa z dnia 27 kwietnia 2001 r. – Prawo ochrony środowiska (Dz. U. Nr 62, poz.  627 z </w:t>
      </w:r>
      <w:proofErr w:type="spellStart"/>
      <w:r>
        <w:t>późn</w:t>
      </w:r>
      <w:proofErr w:type="spellEnd"/>
      <w:r>
        <w:t xml:space="preserve">. zm.). </w:t>
      </w:r>
    </w:p>
    <w:p w14:paraId="1B636758" w14:textId="0A62E43C" w:rsidR="00B00FC0" w:rsidRDefault="00B00FC0" w:rsidP="00680A86">
      <w:pPr>
        <w:pStyle w:val="atrepunktowanie"/>
      </w:pPr>
      <w:r>
        <w:t xml:space="preserve">Ustawa z dnia 21 marca 1985 r. – o drogach publicznych (jednolity tekst Dz. U. z 2004 r. Nr 204, poz. 2086). </w:t>
      </w:r>
    </w:p>
    <w:p w14:paraId="4F804D05" w14:textId="0EDA7F5C" w:rsidR="00B00FC0" w:rsidRDefault="00B00FC0" w:rsidP="00680A86">
      <w:pPr>
        <w:pStyle w:val="atrepunktowanie"/>
      </w:pPr>
      <w:r>
        <w:t xml:space="preserve">Ustawa  z  dnia  7  czerwca  2001  r.  –  o  zbiorowym  zaopatrzeniu  w  wodę  i zbiorowym odprowadzeniu ścieków (Dz. U. Nr 72, poz. 747).  </w:t>
      </w:r>
    </w:p>
    <w:p w14:paraId="08179F8C" w14:textId="6CB3EEA6" w:rsidR="00B00FC0" w:rsidRDefault="00680A86" w:rsidP="00680A86">
      <w:pPr>
        <w:pStyle w:val="apunkt11"/>
      </w:pPr>
      <w:bookmarkStart w:id="33" w:name="_Toc53920331"/>
      <w:r>
        <w:t>Rozporządzenia</w:t>
      </w:r>
      <w:r w:rsidR="00B00FC0">
        <w:t>:</w:t>
      </w:r>
      <w:bookmarkEnd w:id="33"/>
      <w:r w:rsidR="00B00FC0">
        <w:t xml:space="preserve">  </w:t>
      </w:r>
    </w:p>
    <w:p w14:paraId="0D507276" w14:textId="4FD9546F" w:rsidR="00B00FC0" w:rsidRDefault="00B00FC0" w:rsidP="00680A86">
      <w:pPr>
        <w:pStyle w:val="atrepunktowanie"/>
      </w:pPr>
      <w:r>
        <w:t xml:space="preserve">Rozporządzenie  Ministra  Rozwoju  Regionalnego  i  Budownictwa z  dnia  2 kwietnia 2001 r. – w sprawie geodezyjnej ewidencji sieci uzbrojenia terenu oraz zespołów uzgadniania dokumentacji projektowej (Dz. U. Nr 38, poz. 455).  </w:t>
      </w:r>
    </w:p>
    <w:p w14:paraId="6243DFF9" w14:textId="5C7000BE" w:rsidR="00B00FC0" w:rsidRDefault="00B00FC0" w:rsidP="00680A86">
      <w:pPr>
        <w:pStyle w:val="atrepunktowanie"/>
      </w:pPr>
      <w:r>
        <w:t xml:space="preserve">Rozporządzenie  Ministra  Infrastruktury  z  dnia  2  grudnia  2002  r.  –  w  sprawie systemów  oceny  zgodności  wyrobów  budowlanych  oraz  sposobu  ich oznaczania znakowaniem CE (Dz. U. Nr 209, poz. 1779). </w:t>
      </w:r>
    </w:p>
    <w:p w14:paraId="60F43BC1" w14:textId="1DCCFF6F" w:rsidR="00B00FC0" w:rsidRDefault="00B00FC0" w:rsidP="00680A86">
      <w:pPr>
        <w:pStyle w:val="atrepunktowanie"/>
      </w:pPr>
      <w:r>
        <w:t xml:space="preserve">Rozporządzenie  Ministra  Infrastruktury  z  dnia  2  grudnia  2002  r.  –  w  sprawie określenia  polskich  jednostek  organizacyjnych  upoważnionych  do   wydawania europejskich  aprobat  technicznych,  zakresu  i  formy aprobat  oraz  trybu  ich udzielania, uchylania lub zmiany (Dz. U. Nr 209, poz. 1780).  </w:t>
      </w:r>
    </w:p>
    <w:p w14:paraId="25C70E72" w14:textId="77B2B4BF" w:rsidR="00B00FC0" w:rsidRDefault="00B00FC0" w:rsidP="00680A86">
      <w:pPr>
        <w:pStyle w:val="atrepunktowanie"/>
      </w:pPr>
      <w:r>
        <w:t xml:space="preserve">Rozporządzenie Ministra Pracy i Polityki Społecznej z dnia 26 września 1997 r. –  w sprawie ogólnych przepisów bezpieczeństwa i higieny pracy (Dz. U. Nr 169,poz. 1650).  </w:t>
      </w:r>
    </w:p>
    <w:p w14:paraId="6081F537" w14:textId="4EFB6843" w:rsidR="00B00FC0" w:rsidRDefault="00B00FC0" w:rsidP="00680A86">
      <w:pPr>
        <w:pStyle w:val="atrepunktowanie"/>
      </w:pPr>
      <w:r>
        <w:t xml:space="preserve">Rozporządzenie  Ministra  Infrastruktury  z  dnia  6  lutego  2003  r.  –  w  sprawie bezpieczeństwa i higieny pracy podczas wykonywania robót budowlanych (Dz. U. Nr 47, poz. 401). </w:t>
      </w:r>
    </w:p>
    <w:p w14:paraId="74A93BF5" w14:textId="5A822CBE" w:rsidR="00B00FC0" w:rsidRDefault="00B00FC0" w:rsidP="00680A86">
      <w:pPr>
        <w:pStyle w:val="atrepunktowanie"/>
      </w:pPr>
      <w:r>
        <w:lastRenderedPageBreak/>
        <w:t xml:space="preserve">Rozporządzenie Ministra Infrastruktury z dnia 23 czerwca 2003 r. – w sprawie informacji  dotyczącej  bezpieczeństwa  i  ochrony  zdrowia  oraz  planu bezpieczeństwa i ochrony zdrowia (Dz. U. Nr 120, poz. 1126).  </w:t>
      </w:r>
    </w:p>
    <w:p w14:paraId="1B6E254F" w14:textId="4F466449" w:rsidR="00B00FC0" w:rsidRDefault="00B00FC0" w:rsidP="00680A86">
      <w:pPr>
        <w:pStyle w:val="atrepunktowanie"/>
      </w:pPr>
      <w:r>
        <w:t xml:space="preserve">Rozporządzenie  Ministra  Infrastruktury  z  dnia  11  sierpnia  2004  r.  –   w sprawie sposobów  deklarowania  wyrobów  budowlanych  oraz  sposobu  znakowania  ich znakiem budowlanym (Dz. U. Nr 198, poz. 2041).  </w:t>
      </w:r>
    </w:p>
    <w:p w14:paraId="10C696AC" w14:textId="24183217" w:rsidR="00B00FC0" w:rsidRDefault="00B00FC0" w:rsidP="00680A86">
      <w:pPr>
        <w:pStyle w:val="atrepunktowanie"/>
      </w:pPr>
      <w:r>
        <w:t xml:space="preserve">Rozporządzenie Ministra Infrastruktury z dnia 27 sierpnia 2004 r. – zmieniające rozporządzenie  w  sprawie  dziennika  budowy,  montażu  i  rozbiórki,  tablicy informacyjnej oraz ogłoszenia zamawiającego dane dotyczące bezpieczeństwa pracy i ochrony zdrowia (Dz. U. Nr 198, poz. 2042).  </w:t>
      </w:r>
    </w:p>
    <w:p w14:paraId="6388CA7B" w14:textId="27C1CE01" w:rsidR="00B00FC0" w:rsidRDefault="00B00FC0" w:rsidP="00680A86">
      <w:pPr>
        <w:pStyle w:val="atrepunktowanie"/>
      </w:pPr>
      <w:r>
        <w:t xml:space="preserve">Rozporządzenie  Ministra  Infrastruktury  z  dnia  2  września  2004  r.  –  w sprawie szczegółowego  zakresu  i  formy  dokumentacji  projektowej,  specyfikacji  technicznych  wykonania  i  odbioru  robót  budowlanych  oraz  programu funkcjonalno-użytkowego (Dz. U. Nr 202, poz. 2072).  </w:t>
      </w:r>
    </w:p>
    <w:p w14:paraId="11CCC859" w14:textId="294D7519" w:rsidR="00B00FC0" w:rsidRDefault="00680A86" w:rsidP="00680A86">
      <w:pPr>
        <w:pStyle w:val="apunkt11"/>
      </w:pPr>
      <w:bookmarkStart w:id="34" w:name="_Toc53920332"/>
      <w:r>
        <w:t>Normy</w:t>
      </w:r>
      <w:r w:rsidR="00B00FC0">
        <w:t>:</w:t>
      </w:r>
      <w:bookmarkEnd w:id="34"/>
      <w:r w:rsidR="00B00FC0">
        <w:t xml:space="preserve">  </w:t>
      </w:r>
    </w:p>
    <w:p w14:paraId="32DDFE92" w14:textId="07AF2DA7" w:rsidR="00B00FC0" w:rsidRDefault="00B00FC0" w:rsidP="00680A86">
      <w:pPr>
        <w:pStyle w:val="atrepunktowanie"/>
      </w:pPr>
      <w:r>
        <w:t xml:space="preserve">PN-EN  1074-1:  2002  Armatura  wodociągowa. Wymagania  użytkowe  i  badania sprawdzające. Część 1: Wymagania ogólne. </w:t>
      </w:r>
    </w:p>
    <w:p w14:paraId="097BF0FF" w14:textId="6677214E" w:rsidR="00B00FC0" w:rsidRDefault="00B00FC0" w:rsidP="00680A86">
      <w:pPr>
        <w:pStyle w:val="atrepunktowanie"/>
      </w:pPr>
      <w:r>
        <w:t xml:space="preserve">PN-EN  1074-2:  2002  Armatura  wodociągowa. Wymagania  użytkowe  i  badania  sprawdzające. Część 2: Armatura zaporowa. </w:t>
      </w:r>
    </w:p>
    <w:p w14:paraId="0F66A9B7" w14:textId="52BCE0BC" w:rsidR="00B00FC0" w:rsidRDefault="00B00FC0" w:rsidP="00680A86">
      <w:pPr>
        <w:pStyle w:val="atrepunktowanie"/>
      </w:pPr>
      <w:r>
        <w:t xml:space="preserve">PN-EN  681-1:  2002  Uszczelnienia  z  elastomerów.  Wymagania  materiałowe dotyczące  uszczelek  złączy  rur  wodociągowych i  odwadniających.  Część  1: Guma: </w:t>
      </w:r>
    </w:p>
    <w:p w14:paraId="6A5C1308" w14:textId="1C61CA0E" w:rsidR="00B00FC0" w:rsidRDefault="00B00FC0" w:rsidP="00680A86">
      <w:pPr>
        <w:pStyle w:val="atrepunktowanie"/>
      </w:pPr>
      <w:r>
        <w:t xml:space="preserve">PN-EN  681-2:  2002  Uszczelnienia  z  elastomerów.  Wymagania  materiałowe dotyczące  uszczelek  złączy  rur  wodociągowych  i  odwadniających.  Część  2: Elastomery termoplastyczne: </w:t>
      </w:r>
    </w:p>
    <w:p w14:paraId="69530307" w14:textId="6E9148A3" w:rsidR="00B00FC0" w:rsidRDefault="00B00FC0" w:rsidP="00680A86">
      <w:pPr>
        <w:pStyle w:val="atrepunktowanie"/>
      </w:pPr>
      <w:r>
        <w:t xml:space="preserve">PN-EN 12201-1: 2004 Systemy przewodów rurowych z tworzyw sztucznych do przesyłania wody. Polietylen (PE). Część 1: Wymagania ogólne. </w:t>
      </w:r>
    </w:p>
    <w:p w14:paraId="30A81DAD" w14:textId="569C7A7B" w:rsidR="00B00FC0" w:rsidRDefault="00B00FC0" w:rsidP="00680A86">
      <w:pPr>
        <w:pStyle w:val="atrepunktowanie"/>
      </w:pPr>
      <w:r>
        <w:t xml:space="preserve">PN-EN 12201-2: 2004 Systemy przewodów rurowych z tworzyw sztucznych do przesyłania wody. Polietylen (PE). Część 2: Rury. </w:t>
      </w:r>
    </w:p>
    <w:p w14:paraId="3C875289" w14:textId="4C139A13" w:rsidR="00B00FC0" w:rsidRDefault="00B00FC0" w:rsidP="00680A86">
      <w:pPr>
        <w:pStyle w:val="atrepunktowanie"/>
      </w:pPr>
      <w:r>
        <w:t xml:space="preserve">PN-EN 12201-3: 2004 Systemy przewodów rurowych z tworzyw sztucznych do przesyłania wody. Polietylen (PE). Część 3: Kształtki. </w:t>
      </w:r>
    </w:p>
    <w:p w14:paraId="2E761FB2" w14:textId="270A9921" w:rsidR="00B00FC0" w:rsidRDefault="00B00FC0" w:rsidP="00680A86">
      <w:pPr>
        <w:pStyle w:val="atrepunktowanie"/>
      </w:pPr>
      <w:r>
        <w:t xml:space="preserve">PN-EN 12201-4: 2004 Systemy przewodów rurowych z tworzyw sztucznych do przesyłania wody. Polietylen (PE). Część 4: Armatura. </w:t>
      </w:r>
    </w:p>
    <w:p w14:paraId="04AAC5E9" w14:textId="5CA152BD" w:rsidR="00B00FC0" w:rsidRDefault="00B00FC0" w:rsidP="00680A86">
      <w:pPr>
        <w:pStyle w:val="atrepunktowanie"/>
      </w:pPr>
      <w:r>
        <w:t xml:space="preserve">PN-EN 12201-5: 2004 Systemy przewodów rurowych z tworzyw sztucznych do  przesyłania  wody.  Polietylen  (PE).  Część  5:  Przydatność  do  stosowania w systemie. </w:t>
      </w:r>
    </w:p>
    <w:p w14:paraId="267731BF" w14:textId="33F00F00" w:rsidR="00B00FC0" w:rsidRDefault="00B00FC0" w:rsidP="00680A86">
      <w:pPr>
        <w:pStyle w:val="atrepunktowanie"/>
      </w:pPr>
      <w:r>
        <w:t xml:space="preserve">PN-EN 1452-1:2000 </w:t>
      </w:r>
    </w:p>
    <w:p w14:paraId="45BC2568" w14:textId="1B7C53E3" w:rsidR="00B00FC0" w:rsidRDefault="00B00FC0" w:rsidP="00680A86">
      <w:pPr>
        <w:pStyle w:val="atrepunktowanie"/>
      </w:pPr>
      <w:r>
        <w:t xml:space="preserve">PN-B-10725: 1997 Wodociągi. Przewody zewnętrzne. Wymagania i badania. </w:t>
      </w:r>
    </w:p>
    <w:p w14:paraId="714D564D" w14:textId="611A52E3" w:rsidR="00B00FC0" w:rsidRDefault="00B00FC0" w:rsidP="00680A86">
      <w:pPr>
        <w:pStyle w:val="atrepunktowanie"/>
      </w:pPr>
      <w:r>
        <w:t xml:space="preserve">PN-87/B-01060  Sieć  wodociągowa  zewnętrzna.  Obiekty  i  elementy  wyposażenia. </w:t>
      </w:r>
    </w:p>
    <w:p w14:paraId="3EF4B1EC" w14:textId="49EAC081" w:rsidR="00B00FC0" w:rsidRDefault="00B00FC0" w:rsidP="00680A86">
      <w:pPr>
        <w:pStyle w:val="atrepunktowanie"/>
      </w:pPr>
      <w:r>
        <w:t xml:space="preserve">PN-B-10736:  1999  Wykopy  otwarte  dla  przewodów  wodociągowych  i kanalizacyjnych. Warunki techniczne wykonania. </w:t>
      </w:r>
    </w:p>
    <w:p w14:paraId="4C5A7E94" w14:textId="4DE8003C" w:rsidR="00B00FC0" w:rsidRDefault="00B00FC0" w:rsidP="00680A86">
      <w:pPr>
        <w:pStyle w:val="atrepunktowanie"/>
      </w:pPr>
      <w:r>
        <w:t xml:space="preserve">PN-81/B-03020  Grunty  budowlane.  Posadowienie  bezpośrednie  budowli. </w:t>
      </w:r>
    </w:p>
    <w:p w14:paraId="46B6D76C" w14:textId="2B3D77FF" w:rsidR="00B00FC0" w:rsidRDefault="00B00FC0" w:rsidP="00680A86">
      <w:pPr>
        <w:pStyle w:val="atrepunktowanie"/>
      </w:pPr>
      <w:r>
        <w:t xml:space="preserve">PN-89/M-74091  Armatura  przemysłowa.  Hydranty  nadziemne  na  ciśnienie  nominalne 1 </w:t>
      </w:r>
      <w:proofErr w:type="spellStart"/>
      <w:r>
        <w:t>MPa</w:t>
      </w:r>
      <w:proofErr w:type="spellEnd"/>
      <w:r>
        <w:t xml:space="preserve">. </w:t>
      </w:r>
    </w:p>
    <w:p w14:paraId="6F731409" w14:textId="703149C0" w:rsidR="00B00FC0" w:rsidRDefault="00B00FC0" w:rsidP="00680A86">
      <w:pPr>
        <w:pStyle w:val="atrepunktowanie"/>
      </w:pPr>
      <w:r>
        <w:t xml:space="preserve">PN-89/M-74092  Armatura  przemysłowa.  Hydranty  podziemne  na  ciśnienie nominalne 1 </w:t>
      </w:r>
      <w:proofErr w:type="spellStart"/>
      <w:r>
        <w:t>MPa</w:t>
      </w:r>
      <w:proofErr w:type="spellEnd"/>
      <w:r>
        <w:t xml:space="preserve">. </w:t>
      </w:r>
    </w:p>
    <w:p w14:paraId="2CD49A40" w14:textId="2DE73BF8" w:rsidR="00B00FC0" w:rsidRDefault="00B00FC0" w:rsidP="00680A86">
      <w:pPr>
        <w:pStyle w:val="atrepunktowanie"/>
      </w:pPr>
      <w:r>
        <w:t xml:space="preserve">PN-86/B-09700 Tablice orientacyjne do oznaczania uzbrojenia na przewodach wodociągowych.  </w:t>
      </w:r>
    </w:p>
    <w:p w14:paraId="732E6230" w14:textId="000413B5" w:rsidR="00B00FC0" w:rsidRDefault="00B00FC0" w:rsidP="00680A86">
      <w:pPr>
        <w:pStyle w:val="atrepunktowanie"/>
      </w:pPr>
      <w:r>
        <w:t xml:space="preserve">PN-93/C-89218 Rury i kształtki z tworzyw sztucznych. Sprawdzanie wymiarów. </w:t>
      </w:r>
    </w:p>
    <w:p w14:paraId="5579BC94" w14:textId="3774BA4E" w:rsidR="00B00FC0" w:rsidRDefault="00B00FC0" w:rsidP="00680A86">
      <w:pPr>
        <w:pStyle w:val="atrepunktowanie"/>
      </w:pPr>
      <w:r>
        <w:t xml:space="preserve">PN-EN  805:  2002  Zaopatrzenie  w  wodę. Wymagania  dotyczące  systemów zewnętrznych i ich części składowych. </w:t>
      </w:r>
    </w:p>
    <w:p w14:paraId="3A445E65" w14:textId="141C1AFB" w:rsidR="00B00FC0" w:rsidRDefault="00B00FC0" w:rsidP="00680A86">
      <w:pPr>
        <w:pStyle w:val="atrepunktowanie"/>
      </w:pPr>
      <w:r>
        <w:t xml:space="preserve">PN-B-6050: 1999 Geotechnika. Roboty ziemne. Wymagania ogólne. </w:t>
      </w:r>
    </w:p>
    <w:p w14:paraId="6BE6205B" w14:textId="1543CBF4" w:rsidR="00B00FC0" w:rsidRDefault="00B00FC0" w:rsidP="00680A86">
      <w:pPr>
        <w:pStyle w:val="atrepunktowanie"/>
      </w:pPr>
      <w:r>
        <w:t xml:space="preserve">BN-77/8931-12 Oznaczenie wskaźnika zagęszczenia gruntu.  </w:t>
      </w:r>
    </w:p>
    <w:p w14:paraId="767430D3" w14:textId="795E2610" w:rsidR="00B00FC0" w:rsidRDefault="00680A86" w:rsidP="00680A86">
      <w:pPr>
        <w:pStyle w:val="apunkt11"/>
      </w:pPr>
      <w:bookmarkStart w:id="35" w:name="_Toc53920333"/>
      <w:r>
        <w:t>Inne dokumenty:</w:t>
      </w:r>
      <w:bookmarkEnd w:id="35"/>
      <w:r>
        <w:t xml:space="preserve">  </w:t>
      </w:r>
    </w:p>
    <w:p w14:paraId="628212E6" w14:textId="4FCA6DA8" w:rsidR="00B00FC0" w:rsidRDefault="00B00FC0" w:rsidP="00680A86">
      <w:pPr>
        <w:pStyle w:val="atrepunktowanie"/>
      </w:pPr>
      <w:r>
        <w:t xml:space="preserve">Warunki Techniczne Wykonania i Odbioru Sieci Wodociągowych – zeszyt 3 – COBRTI INSTAL </w:t>
      </w:r>
    </w:p>
    <w:p w14:paraId="331BF253" w14:textId="086193B6" w:rsidR="00B00FC0" w:rsidRDefault="00B00FC0" w:rsidP="00680A86">
      <w:pPr>
        <w:pStyle w:val="atrepunktowanie"/>
      </w:pPr>
      <w:r>
        <w:t xml:space="preserve">Instrukcja Projektowa, Montażu i Układania rur PVC-U i PE – GAMRAT, </w:t>
      </w:r>
    </w:p>
    <w:p w14:paraId="522C1BCA" w14:textId="38A2F957" w:rsidR="00B00FC0" w:rsidRDefault="00B00FC0" w:rsidP="00680A86">
      <w:pPr>
        <w:pStyle w:val="atrepunktowanie"/>
      </w:pPr>
      <w:r>
        <w:t xml:space="preserve">Katalog Techniczny – PIPE LIFE.  </w:t>
      </w:r>
    </w:p>
    <w:p w14:paraId="0132F2B9" w14:textId="1349F31B" w:rsidR="00B00FC0" w:rsidRDefault="00B00FC0" w:rsidP="00680A86">
      <w:pPr>
        <w:pStyle w:val="atrepunktowanie"/>
      </w:pPr>
      <w:r>
        <w:t>Warunki Techniczne Wykonania i Odbioru Rurociągów z Tworzyw Sztucznych – Polska Korporacja</w:t>
      </w:r>
      <w:r w:rsidR="00680A86">
        <w:t xml:space="preserve"> </w:t>
      </w:r>
      <w:r>
        <w:t>Techniki Sanitarnej, Grzewczej, Gazowej, Kanalizacji.</w:t>
      </w:r>
    </w:p>
    <w:p w14:paraId="1A964A9F" w14:textId="77777777" w:rsidR="00B00FC0" w:rsidRDefault="00B00FC0" w:rsidP="00B00FC0">
      <w:pPr>
        <w:rPr>
          <w:rFonts w:ascii="Arial" w:hAnsi="Arial"/>
        </w:rPr>
      </w:pPr>
    </w:p>
    <w:p w14:paraId="12B97E12" w14:textId="77777777" w:rsidR="00B00FC0" w:rsidRDefault="00B00FC0" w:rsidP="00B00FC0">
      <w:pPr>
        <w:ind w:firstLine="340"/>
        <w:rPr>
          <w:rFonts w:ascii="Arial" w:hAnsi="Arial"/>
        </w:rPr>
      </w:pPr>
    </w:p>
    <w:p w14:paraId="71264261" w14:textId="77777777" w:rsidR="00B00FC0" w:rsidRDefault="00B00FC0" w:rsidP="00B00FC0">
      <w:pPr>
        <w:ind w:firstLine="340"/>
        <w:rPr>
          <w:rFonts w:ascii="Arial" w:hAnsi="Arial"/>
        </w:rPr>
      </w:pPr>
    </w:p>
    <w:p w14:paraId="63CD7085" w14:textId="77777777" w:rsidR="00B00FC0" w:rsidRDefault="00B00FC0" w:rsidP="00B00FC0">
      <w:pPr>
        <w:ind w:firstLine="340"/>
        <w:rPr>
          <w:rFonts w:ascii="Arial" w:hAnsi="Arial"/>
        </w:rPr>
      </w:pPr>
    </w:p>
    <w:p w14:paraId="5B62887D" w14:textId="77777777" w:rsidR="00B00FC0" w:rsidRDefault="00B00FC0" w:rsidP="00B00FC0">
      <w:pPr>
        <w:ind w:firstLine="340"/>
        <w:rPr>
          <w:rFonts w:ascii="Arial" w:hAnsi="Arial"/>
        </w:rPr>
      </w:pPr>
    </w:p>
    <w:p w14:paraId="6E1B0C02" w14:textId="77777777" w:rsidR="00B00FC0" w:rsidRDefault="00B00FC0" w:rsidP="00B00FC0">
      <w:pPr>
        <w:ind w:firstLine="340"/>
        <w:rPr>
          <w:rFonts w:ascii="Arial" w:hAnsi="Arial"/>
        </w:rPr>
      </w:pPr>
    </w:p>
    <w:p w14:paraId="1EA89872" w14:textId="77777777" w:rsidR="00B00FC0" w:rsidRDefault="00B00FC0" w:rsidP="00B00FC0">
      <w:pPr>
        <w:ind w:firstLine="340"/>
        <w:rPr>
          <w:rFonts w:ascii="Arial" w:hAnsi="Arial"/>
        </w:rPr>
      </w:pPr>
    </w:p>
    <w:p w14:paraId="44ED20A9" w14:textId="77777777" w:rsidR="00B00FC0" w:rsidRDefault="00B00FC0" w:rsidP="00B00FC0">
      <w:pPr>
        <w:ind w:firstLine="340"/>
        <w:rPr>
          <w:rFonts w:ascii="Arial" w:hAnsi="Arial"/>
        </w:rPr>
      </w:pPr>
    </w:p>
    <w:p w14:paraId="580AC5AA" w14:textId="77777777" w:rsidR="00B00FC0" w:rsidRDefault="00B00FC0" w:rsidP="00B00FC0">
      <w:pPr>
        <w:ind w:firstLine="340"/>
        <w:rPr>
          <w:rFonts w:ascii="Arial" w:hAnsi="Arial"/>
        </w:rPr>
      </w:pPr>
    </w:p>
    <w:p w14:paraId="304DF588" w14:textId="77777777" w:rsidR="00B00FC0" w:rsidRDefault="00B00FC0" w:rsidP="00B00FC0">
      <w:pPr>
        <w:ind w:firstLine="340"/>
        <w:rPr>
          <w:rFonts w:ascii="Arial" w:hAnsi="Arial"/>
        </w:rPr>
      </w:pPr>
    </w:p>
    <w:p w14:paraId="39D13607" w14:textId="77777777" w:rsidR="00B00FC0" w:rsidRDefault="00B00FC0" w:rsidP="00B00FC0">
      <w:pPr>
        <w:ind w:firstLine="340"/>
        <w:rPr>
          <w:rFonts w:ascii="Arial" w:hAnsi="Arial"/>
        </w:rPr>
      </w:pPr>
    </w:p>
    <w:p w14:paraId="2A12794B" w14:textId="77777777" w:rsidR="00B00FC0" w:rsidRDefault="00B00FC0" w:rsidP="00B00FC0">
      <w:pPr>
        <w:ind w:firstLine="340"/>
        <w:rPr>
          <w:rFonts w:ascii="Arial" w:hAnsi="Arial"/>
        </w:rPr>
      </w:pPr>
    </w:p>
    <w:p w14:paraId="21C4086A" w14:textId="77777777" w:rsidR="00B00FC0" w:rsidRDefault="00B00FC0" w:rsidP="00B00FC0">
      <w:pPr>
        <w:ind w:firstLine="340"/>
        <w:rPr>
          <w:rFonts w:ascii="Arial" w:hAnsi="Arial"/>
        </w:rPr>
      </w:pPr>
    </w:p>
    <w:p w14:paraId="78839FFF" w14:textId="77777777" w:rsidR="00B00FC0" w:rsidRDefault="00B00FC0" w:rsidP="00B00FC0">
      <w:pPr>
        <w:ind w:firstLine="340"/>
        <w:rPr>
          <w:rFonts w:ascii="Arial" w:hAnsi="Arial"/>
        </w:rPr>
      </w:pPr>
    </w:p>
    <w:p w14:paraId="6C9E0381" w14:textId="77777777" w:rsidR="00B00FC0" w:rsidRDefault="00B00FC0" w:rsidP="00B00FC0">
      <w:pPr>
        <w:ind w:firstLine="340"/>
      </w:pPr>
    </w:p>
    <w:p w14:paraId="4CE079F6" w14:textId="77777777" w:rsidR="00D27FBF" w:rsidRPr="00B00FC0" w:rsidRDefault="00D27FBF" w:rsidP="00B00FC0"/>
    <w:sectPr w:rsidR="00D27FBF" w:rsidRPr="00B00FC0">
      <w:headerReference w:type="even" r:id="rId7"/>
      <w:headerReference w:type="default" r:id="rId8"/>
      <w:footerReference w:type="even" r:id="rId9"/>
      <w:footerReference w:type="default" r:id="rId10"/>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D7FF8" w14:textId="77777777" w:rsidR="00EC6908" w:rsidRDefault="00EC6908">
      <w:r>
        <w:separator/>
      </w:r>
    </w:p>
  </w:endnote>
  <w:endnote w:type="continuationSeparator" w:id="0">
    <w:p w14:paraId="7EE3E709" w14:textId="77777777" w:rsidR="00EC6908" w:rsidRDefault="00EC6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2"/>
    <w:family w:val="auto"/>
    <w:pitch w:val="default"/>
  </w:font>
  <w:font w:name="Arial Unicode M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CF1656" w14:textId="121CC693" w:rsidR="00960A07" w:rsidRDefault="00741474" w:rsidP="009E7C31">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4</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w:t>
    </w:r>
    <w:r w:rsidR="00E27B0A">
      <w:rPr>
        <w:rFonts w:ascii="Arial" w:hAnsi="Arial"/>
        <w:sz w:val="18"/>
        <w:szCs w:val="18"/>
      </w:rPr>
      <w:t>SST Przebudowa wodociągu</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055B7F" w14:textId="2908209E" w:rsidR="00960A07" w:rsidRDefault="00E27B0A" w:rsidP="009E7C31">
    <w:pPr>
      <w:pStyle w:val="Stopka"/>
      <w:pBdr>
        <w:top w:val="single" w:sz="4" w:space="1" w:color="auto"/>
      </w:pBdr>
    </w:pPr>
    <w:r>
      <w:rPr>
        <w:rFonts w:ascii="Arial" w:hAnsi="Arial"/>
        <w:sz w:val="18"/>
        <w:szCs w:val="18"/>
      </w:rPr>
      <w:t>SST Przebudowa wodociągu</w:t>
    </w:r>
    <w:r w:rsidR="00741474">
      <w:rPr>
        <w:rFonts w:ascii="Arial" w:hAnsi="Arial"/>
        <w:sz w:val="18"/>
        <w:szCs w:val="18"/>
      </w:rPr>
      <w:tab/>
    </w:r>
    <w:r w:rsidR="00741474">
      <w:rPr>
        <w:rFonts w:ascii="Arial" w:hAnsi="Arial"/>
        <w:sz w:val="18"/>
        <w:szCs w:val="18"/>
      </w:rPr>
      <w:tab/>
      <w:t xml:space="preserve">            </w:t>
    </w:r>
    <w:proofErr w:type="spellStart"/>
    <w:r w:rsidR="00741474">
      <w:rPr>
        <w:rFonts w:ascii="Arial" w:hAnsi="Arial"/>
        <w:sz w:val="18"/>
        <w:szCs w:val="18"/>
      </w:rPr>
      <w:t>STWiOR</w:t>
    </w:r>
    <w:proofErr w:type="spellEnd"/>
    <w:r w:rsidR="00741474">
      <w:rPr>
        <w:rFonts w:ascii="Arial" w:hAnsi="Arial"/>
        <w:sz w:val="18"/>
        <w:szCs w:val="18"/>
      </w:rPr>
      <w:t xml:space="preserve">  </w:t>
    </w:r>
    <w:r w:rsidR="00741474">
      <w:rPr>
        <w:rFonts w:ascii="Arial" w:hAnsi="Arial"/>
        <w:sz w:val="18"/>
        <w:szCs w:val="18"/>
      </w:rPr>
      <w:fldChar w:fldCharType="begin"/>
    </w:r>
    <w:r w:rsidR="00741474">
      <w:rPr>
        <w:rFonts w:ascii="Arial" w:hAnsi="Arial"/>
        <w:sz w:val="18"/>
        <w:szCs w:val="18"/>
      </w:rPr>
      <w:instrText>PAGE</w:instrText>
    </w:r>
    <w:r w:rsidR="00741474">
      <w:rPr>
        <w:rFonts w:ascii="Arial" w:hAnsi="Arial"/>
        <w:sz w:val="18"/>
        <w:szCs w:val="18"/>
      </w:rPr>
      <w:fldChar w:fldCharType="separate"/>
    </w:r>
    <w:r w:rsidR="00741474">
      <w:rPr>
        <w:rFonts w:ascii="Arial" w:hAnsi="Arial"/>
        <w:sz w:val="18"/>
        <w:szCs w:val="18"/>
      </w:rPr>
      <w:t>5</w:t>
    </w:r>
    <w:r w:rsidR="00741474">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52B1AD" w14:textId="77777777" w:rsidR="00EC6908" w:rsidRDefault="00EC6908">
      <w:r>
        <w:separator/>
      </w:r>
    </w:p>
  </w:footnote>
  <w:footnote w:type="continuationSeparator" w:id="0">
    <w:p w14:paraId="2FE86A67" w14:textId="77777777" w:rsidR="00EC6908" w:rsidRDefault="00EC69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CDF40" w14:textId="4448FE87" w:rsidR="00960A07" w:rsidRDefault="00C6632E" w:rsidP="009E7C31">
    <w:pPr>
      <w:pStyle w:val="Nagwek"/>
      <w:pBdr>
        <w:bottom w:val="single" w:sz="4" w:space="1" w:color="auto"/>
      </w:pBdr>
      <w:jc w:val="center"/>
      <w:rPr>
        <w:rFonts w:ascii="Arial" w:hAnsi="Arial"/>
        <w:sz w:val="18"/>
        <w:szCs w:val="18"/>
      </w:rPr>
    </w:pPr>
    <w:r w:rsidRPr="00C6632E">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A6D5E" w14:textId="0ED34DD0" w:rsidR="00960A07" w:rsidRDefault="00C6632E" w:rsidP="009E7C31">
    <w:pPr>
      <w:pStyle w:val="Nagwek"/>
      <w:pBdr>
        <w:bottom w:val="single" w:sz="4" w:space="1" w:color="auto"/>
      </w:pBdr>
      <w:jc w:val="center"/>
      <w:rPr>
        <w:rFonts w:ascii="Arial" w:hAnsi="Arial"/>
        <w:sz w:val="18"/>
        <w:szCs w:val="18"/>
      </w:rPr>
    </w:pPr>
    <w:r w:rsidRPr="00C6632E">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4"/>
    <w:multiLevelType w:val="multilevel"/>
    <w:tmpl w:val="00000004"/>
    <w:name w:val="WWNum7"/>
    <w:lvl w:ilvl="0">
      <w:start w:val="1"/>
      <w:numFmt w:val="decimal"/>
      <w:lvlText w:val="%1"/>
      <w:lvlJc w:val="left"/>
      <w:pPr>
        <w:tabs>
          <w:tab w:val="num" w:pos="0"/>
        </w:tabs>
        <w:ind w:left="432" w:hanging="432"/>
      </w:p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5"/>
    <w:multiLevelType w:val="multilevel"/>
    <w:tmpl w:val="00000005"/>
    <w:name w:val="WWNum1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6"/>
    <w:multiLevelType w:val="multilevel"/>
    <w:tmpl w:val="00000006"/>
    <w:name w:val="WWNum1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7"/>
    <w:multiLevelType w:val="multilevel"/>
    <w:tmpl w:val="00000007"/>
    <w:name w:val="WWNum1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8"/>
    <w:multiLevelType w:val="multilevel"/>
    <w:tmpl w:val="00000008"/>
    <w:name w:val="WWNum1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1B942F08"/>
    <w:multiLevelType w:val="multilevel"/>
    <w:tmpl w:val="134482F0"/>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7" w15:restartNumberingAfterBreak="0">
    <w:nsid w:val="1ECC2320"/>
    <w:multiLevelType w:val="multilevel"/>
    <w:tmpl w:val="59E4D53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8" w15:restartNumberingAfterBreak="0">
    <w:nsid w:val="31A36E1B"/>
    <w:multiLevelType w:val="multilevel"/>
    <w:tmpl w:val="3ACE656A"/>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rPr>
        <w:b/>
        <w:bCs w:val="0"/>
      </w:r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508A022D"/>
    <w:multiLevelType w:val="multilevel"/>
    <w:tmpl w:val="49CA5EE8"/>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num w:numId="1" w16cid:durableId="1852259116">
    <w:abstractNumId w:val="8"/>
  </w:num>
  <w:num w:numId="2" w16cid:durableId="784344750">
    <w:abstractNumId w:val="6"/>
  </w:num>
  <w:num w:numId="3" w16cid:durableId="959797935">
    <w:abstractNumId w:val="9"/>
  </w:num>
  <w:num w:numId="4" w16cid:durableId="948926840">
    <w:abstractNumId w:val="7"/>
  </w:num>
  <w:num w:numId="5" w16cid:durableId="1670331210">
    <w:abstractNumId w:val="0"/>
  </w:num>
  <w:num w:numId="6" w16cid:durableId="1317801619">
    <w:abstractNumId w:val="1"/>
  </w:num>
  <w:num w:numId="7" w16cid:durableId="1417479523">
    <w:abstractNumId w:val="2"/>
  </w:num>
  <w:num w:numId="8" w16cid:durableId="1164249142">
    <w:abstractNumId w:val="3"/>
  </w:num>
  <w:num w:numId="9" w16cid:durableId="876166734">
    <w:abstractNumId w:val="4"/>
  </w:num>
  <w:num w:numId="10" w16cid:durableId="2113426737">
    <w:abstractNumId w:val="5"/>
  </w:num>
  <w:num w:numId="11" w16cid:durableId="118242774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0A07"/>
    <w:rsid w:val="001C3121"/>
    <w:rsid w:val="00275EBE"/>
    <w:rsid w:val="005C247E"/>
    <w:rsid w:val="00680A86"/>
    <w:rsid w:val="00741474"/>
    <w:rsid w:val="00960A07"/>
    <w:rsid w:val="00983BCE"/>
    <w:rsid w:val="009E7C31"/>
    <w:rsid w:val="009F47DE"/>
    <w:rsid w:val="00A25077"/>
    <w:rsid w:val="00A7409D"/>
    <w:rsid w:val="00B00FC0"/>
    <w:rsid w:val="00BE5F1D"/>
    <w:rsid w:val="00C6632E"/>
    <w:rsid w:val="00D27FBF"/>
    <w:rsid w:val="00DC1E07"/>
    <w:rsid w:val="00E27B0A"/>
    <w:rsid w:val="00EC690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A5F559"/>
  <w15:docId w15:val="{CA591084-06A9-4E3D-B2B8-1716F386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character" w:customStyle="1" w:styleId="WW8Num3z0">
    <w:name w:val="WW8Num3z0"/>
    <w:qFormat/>
    <w:rPr>
      <w:rFonts w:ascii="Symbol" w:hAnsi="Symbol" w:cs="Symbol"/>
    </w:rPr>
  </w:style>
  <w:style w:type="character" w:customStyle="1" w:styleId="WW8Num7z0">
    <w:name w:val="WW8Num7z0"/>
    <w:qFormat/>
  </w:style>
  <w:style w:type="character" w:customStyle="1" w:styleId="WW8Num7z1">
    <w:name w:val="WW8Num7z1"/>
    <w:qFormat/>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4"/>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3"/>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 w:type="numbering" w:customStyle="1" w:styleId="WW8Num3">
    <w:name w:val="WW8Num3"/>
    <w:qFormat/>
  </w:style>
  <w:style w:type="numbering" w:customStyle="1" w:styleId="WW8Num7">
    <w:name w:val="WW8Num7"/>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831</TotalTime>
  <Pages>10</Pages>
  <Words>4335</Words>
  <Characters>26015</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103</cp:revision>
  <cp:lastPrinted>2020-09-13T14:31:00Z</cp:lastPrinted>
  <dcterms:created xsi:type="dcterms:W3CDTF">2020-01-08T23:14:00Z</dcterms:created>
  <dcterms:modified xsi:type="dcterms:W3CDTF">2022-12-04T10:53:00Z</dcterms:modified>
  <dc:language>pl-PL</dc:language>
</cp:coreProperties>
</file>