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40973" w14:textId="657CAF69" w:rsidR="00CF60C2" w:rsidRPr="00CF60C2" w:rsidRDefault="00CF60C2" w:rsidP="00CF60C2">
      <w:pPr>
        <w:pStyle w:val="apunkt1"/>
        <w:numPr>
          <w:ilvl w:val="0"/>
          <w:numId w:val="0"/>
        </w:numPr>
        <w:rPr>
          <w:sz w:val="24"/>
        </w:rPr>
      </w:pPr>
      <w:r w:rsidRPr="00CF60C2">
        <w:rPr>
          <w:sz w:val="24"/>
        </w:rPr>
        <w:t>SST Mała architektura</w:t>
      </w:r>
    </w:p>
    <w:p w14:paraId="677C802B" w14:textId="78C5823B" w:rsidR="00CF60C2" w:rsidRDefault="00CF60C2" w:rsidP="00CF60C2">
      <w:pPr>
        <w:pStyle w:val="apunkt1"/>
      </w:pPr>
      <w:r w:rsidRPr="00CF60C2">
        <w:t>WSTĘP</w:t>
      </w:r>
      <w:r>
        <w:t xml:space="preserve"> </w:t>
      </w:r>
    </w:p>
    <w:p w14:paraId="2E4DD7C0" w14:textId="479494CC" w:rsidR="00CF60C2" w:rsidRDefault="00CF60C2" w:rsidP="00CF60C2">
      <w:pPr>
        <w:pStyle w:val="apunkt11"/>
      </w:pPr>
      <w:r>
        <w:t xml:space="preserve">Przedmiot SST </w:t>
      </w:r>
    </w:p>
    <w:p w14:paraId="5BCBC63B" w14:textId="400755EC" w:rsidR="00CF60C2" w:rsidRDefault="00CF60C2" w:rsidP="00CF60C2">
      <w:pPr>
        <w:pStyle w:val="atre"/>
      </w:pPr>
      <w:r>
        <w:t>Przedmiotem niniejszej szczegółowej specyfikacji technicznej (SST) są wymagania dotyczące wykonania i odbioru robót związanych z montażem elementów wyposażenia placu w elementy małej architektury  w ramach zadania</w:t>
      </w:r>
      <w:r w:rsidRPr="00CF60C2">
        <w:t xml:space="preserve"> pn. „Rewitalizacja centrum Kramska dla działek (243/3, 242/3, 193) obręb Kramsk</w:t>
      </w:r>
      <w:r>
        <w:t xml:space="preserve">”: </w:t>
      </w:r>
    </w:p>
    <w:p w14:paraId="3380BC6C" w14:textId="33161019" w:rsidR="00CF60C2" w:rsidRDefault="00CF60C2" w:rsidP="00CF60C2">
      <w:pPr>
        <w:pStyle w:val="apunkt11"/>
      </w:pPr>
      <w:r>
        <w:t xml:space="preserve">Zakres stosowania SST </w:t>
      </w:r>
    </w:p>
    <w:p w14:paraId="7FA1304D" w14:textId="6A0C929B" w:rsidR="00CF60C2" w:rsidRDefault="00CF60C2" w:rsidP="00CF60C2">
      <w:pPr>
        <w:pStyle w:val="atre"/>
      </w:pPr>
      <w:r>
        <w:t xml:space="preserve">Szczegółowa specyfikacja techniczna (SST), będąca uzupełnieniem ogólnej specyfikacji technicznej (OST), stanowi dokument przetargowy i kontraktowy przy zlecaniu i realizacji robót.  </w:t>
      </w:r>
    </w:p>
    <w:p w14:paraId="65C6E6FE" w14:textId="38C92218" w:rsidR="00CF60C2" w:rsidRDefault="00CF60C2" w:rsidP="00CF60C2">
      <w:pPr>
        <w:pStyle w:val="apunkt11"/>
      </w:pPr>
      <w:r>
        <w:t xml:space="preserve">Zakres robót objętych SST </w:t>
      </w:r>
    </w:p>
    <w:p w14:paraId="1A988334" w14:textId="77777777" w:rsidR="00CF60C2" w:rsidRDefault="00CF60C2" w:rsidP="00CF60C2">
      <w:pPr>
        <w:pStyle w:val="atre"/>
      </w:pPr>
      <w:r>
        <w:t xml:space="preserve">Ustalenia zawarte w niniejszej specyfikacji dotyczą zasad prowadzenia robót związanych z </w:t>
      </w:r>
      <w:proofErr w:type="spellStart"/>
      <w:r>
        <w:t>z</w:t>
      </w:r>
      <w:proofErr w:type="spellEnd"/>
      <w:r>
        <w:t xml:space="preserve"> montażem elementów wyposażenia terenu: </w:t>
      </w:r>
    </w:p>
    <w:p w14:paraId="67EE2F11" w14:textId="77777777" w:rsidR="00CF60C2" w:rsidRDefault="00CF60C2" w:rsidP="00CF60C2">
      <w:pPr>
        <w:pStyle w:val="atrepunktowanie"/>
      </w:pPr>
      <w:r>
        <w:t xml:space="preserve">ławki,  </w:t>
      </w:r>
    </w:p>
    <w:p w14:paraId="37907C76" w14:textId="77777777" w:rsidR="00CF60C2" w:rsidRDefault="00CF60C2" w:rsidP="00CF60C2">
      <w:pPr>
        <w:pStyle w:val="atrepunktowanie"/>
      </w:pPr>
      <w:r>
        <w:t xml:space="preserve">kosze, </w:t>
      </w:r>
    </w:p>
    <w:p w14:paraId="3D039A2D" w14:textId="77777777" w:rsidR="00CF60C2" w:rsidRDefault="00CF60C2" w:rsidP="00CF60C2">
      <w:pPr>
        <w:pStyle w:val="atrepunktowanie"/>
      </w:pPr>
      <w:r>
        <w:t xml:space="preserve">stojaki na rowery, </w:t>
      </w:r>
    </w:p>
    <w:p w14:paraId="508D2201" w14:textId="0C22D583" w:rsidR="00CF60C2" w:rsidRDefault="00CF60C2" w:rsidP="00CF60C2">
      <w:pPr>
        <w:pStyle w:val="atrepunktowanie"/>
      </w:pPr>
      <w:r>
        <w:t xml:space="preserve">donice. </w:t>
      </w:r>
    </w:p>
    <w:p w14:paraId="515E69F0" w14:textId="14C4C75D" w:rsidR="00CF60C2" w:rsidRDefault="00CF60C2" w:rsidP="00CF60C2">
      <w:pPr>
        <w:pStyle w:val="apunkt11"/>
      </w:pPr>
      <w:r>
        <w:t xml:space="preserve">Określenia podstawowe </w:t>
      </w:r>
    </w:p>
    <w:p w14:paraId="2810A0BE" w14:textId="1B061BC4" w:rsidR="00CF60C2" w:rsidRDefault="00CF60C2" w:rsidP="00CF60C2">
      <w:pPr>
        <w:pStyle w:val="atre"/>
      </w:pPr>
      <w:r>
        <w:t xml:space="preserve">Stosowane określenia podstawowe są zgodne z obowiązującymi, odpowiednimi polskimi normami oraz z definicjami podanymi w OST PZ-00.00. „Wymagania ogólne" pkt 1.4. </w:t>
      </w:r>
    </w:p>
    <w:p w14:paraId="20F36933" w14:textId="4F7A40BF" w:rsidR="00CF60C2" w:rsidRDefault="00CF60C2" w:rsidP="00CF60C2">
      <w:pPr>
        <w:pStyle w:val="apunkt11"/>
      </w:pPr>
      <w:r>
        <w:t xml:space="preserve">Ogólne wymagania dotyczące robót </w:t>
      </w:r>
    </w:p>
    <w:p w14:paraId="35178AA4" w14:textId="77777777" w:rsidR="00CF60C2" w:rsidRDefault="00CF60C2" w:rsidP="00CF60C2">
      <w:pPr>
        <w:pStyle w:val="atre"/>
      </w:pPr>
      <w:r>
        <w:t xml:space="preserve">Ogólne wymagania dotyczące robót podano w OST PZ-00.00.00. „Wymagania ogólne" pkt 1.5. Wykonawca robót jest odpowiedzialny za jakość wykonania robót oraz za zgodność z dokumentacją projektową, ST i poleceniami Inspektora Nadzoru. </w:t>
      </w:r>
    </w:p>
    <w:p w14:paraId="632E897F" w14:textId="77777777" w:rsidR="00CF60C2" w:rsidRDefault="00CF60C2" w:rsidP="00CF60C2">
      <w:pPr>
        <w:spacing w:line="259" w:lineRule="auto"/>
        <w:ind w:left="36"/>
      </w:pPr>
      <w:r>
        <w:rPr>
          <w:b/>
        </w:rPr>
        <w:t xml:space="preserve"> </w:t>
      </w:r>
    </w:p>
    <w:p w14:paraId="0B5DB7C3" w14:textId="058BCEA1" w:rsidR="00CF60C2" w:rsidRDefault="00CF60C2" w:rsidP="00CF60C2">
      <w:pPr>
        <w:pStyle w:val="apunkt1"/>
      </w:pPr>
      <w:r>
        <w:t xml:space="preserve">MATERIAŁY </w:t>
      </w:r>
    </w:p>
    <w:p w14:paraId="255F7986" w14:textId="06736FCD" w:rsidR="00CF60C2" w:rsidRDefault="00CF60C2" w:rsidP="00CF60C2">
      <w:pPr>
        <w:pStyle w:val="apunkt11"/>
      </w:pPr>
      <w:r>
        <w:t xml:space="preserve">Ogólne wymagania dotyczące materiałów </w:t>
      </w:r>
    </w:p>
    <w:p w14:paraId="7448FBE6" w14:textId="1AE81392" w:rsidR="00CF60C2" w:rsidRDefault="00CF60C2" w:rsidP="00CF60C2">
      <w:pPr>
        <w:pStyle w:val="atre"/>
      </w:pPr>
      <w:r>
        <w:t xml:space="preserve">Ogólne wymagania dotyczące materiałów, ich pozyskiwania i składowania podano w OST PZ 00.00.00. „Wymagania ogólne" pkt. 2. </w:t>
      </w:r>
    </w:p>
    <w:p w14:paraId="2EF4A975" w14:textId="744B3BAB" w:rsidR="00CF60C2" w:rsidRDefault="00CF60C2" w:rsidP="00CF60C2">
      <w:pPr>
        <w:pStyle w:val="apunkt11"/>
      </w:pPr>
      <w:r>
        <w:t xml:space="preserve">Ławki </w:t>
      </w:r>
    </w:p>
    <w:p w14:paraId="2BBBE264" w14:textId="14815499" w:rsidR="00CF60C2" w:rsidRDefault="00CF60C2" w:rsidP="00CF60C2">
      <w:pPr>
        <w:pStyle w:val="atre"/>
      </w:pPr>
      <w:r>
        <w:t xml:space="preserve">Wymiary i pozostałe parametry urządzenia zostały przedstawione  w dokumentacji projektowej.  </w:t>
      </w:r>
    </w:p>
    <w:p w14:paraId="61E8DA10" w14:textId="23DCD281" w:rsidR="00CF60C2" w:rsidRDefault="00CF60C2" w:rsidP="00CF60C2">
      <w:pPr>
        <w:pStyle w:val="apunkt11"/>
      </w:pPr>
      <w:r>
        <w:t xml:space="preserve">Kosze </w:t>
      </w:r>
    </w:p>
    <w:p w14:paraId="47A980F3" w14:textId="0B81BFAC" w:rsidR="00CF60C2" w:rsidRDefault="00CF60C2" w:rsidP="00CF60C2">
      <w:pPr>
        <w:pStyle w:val="atre"/>
      </w:pPr>
      <w:r>
        <w:t xml:space="preserve">Wymiary i pozostałe parametry urządzenia zostały przedstawione  w dokumentacji projektowej. </w:t>
      </w:r>
    </w:p>
    <w:p w14:paraId="4CC4C76A" w14:textId="20839EBA" w:rsidR="00CF60C2" w:rsidRDefault="00CF60C2" w:rsidP="00CF60C2">
      <w:pPr>
        <w:pStyle w:val="apunkt11"/>
      </w:pPr>
      <w:r>
        <w:t xml:space="preserve">Stojaki na rowery </w:t>
      </w:r>
    </w:p>
    <w:p w14:paraId="3D98E19E" w14:textId="62C9868C" w:rsidR="00CF60C2" w:rsidRDefault="00CF60C2" w:rsidP="00CF60C2">
      <w:pPr>
        <w:pStyle w:val="atre"/>
      </w:pPr>
      <w:r>
        <w:t xml:space="preserve">Wymiary i pozostałe parametry urządzenia zostały przedstawione  w dokumentacji projektowej. </w:t>
      </w:r>
      <w:r>
        <w:rPr>
          <w:b/>
        </w:rPr>
        <w:t xml:space="preserve"> </w:t>
      </w:r>
    </w:p>
    <w:p w14:paraId="2D14491C" w14:textId="704D5BD9" w:rsidR="00CF60C2" w:rsidRDefault="00CF60C2" w:rsidP="00CF60C2">
      <w:pPr>
        <w:pStyle w:val="apunkt11"/>
      </w:pPr>
      <w:r>
        <w:t xml:space="preserve">Barierka trawnikowa </w:t>
      </w:r>
    </w:p>
    <w:p w14:paraId="4B830CA9" w14:textId="465030C7" w:rsidR="00CF60C2" w:rsidRDefault="00CF60C2" w:rsidP="00CF60C2">
      <w:pPr>
        <w:pStyle w:val="atre"/>
      </w:pPr>
      <w:r>
        <w:t xml:space="preserve">Wymiary i pozostałe parametry urządzenia zostały przedstawione  w dokumentacji projektowej. </w:t>
      </w:r>
      <w:r>
        <w:rPr>
          <w:b/>
        </w:rPr>
        <w:t xml:space="preserve"> </w:t>
      </w:r>
    </w:p>
    <w:p w14:paraId="7D89961E" w14:textId="0403F304" w:rsidR="00CF60C2" w:rsidRDefault="00CF60C2" w:rsidP="00CF60C2">
      <w:pPr>
        <w:pStyle w:val="apunkt11"/>
      </w:pPr>
      <w:r>
        <w:lastRenderedPageBreak/>
        <w:t xml:space="preserve">Materiały potrzebne do zamontowania urządzeń małej architektury </w:t>
      </w:r>
      <w:r>
        <w:rPr>
          <w:rFonts w:ascii="Times New Roman" w:eastAsia="Times New Roman" w:hAnsi="Times New Roman" w:cs="Times New Roman"/>
        </w:rPr>
        <w:t>-</w:t>
      </w:r>
      <w:r>
        <w:rPr>
          <w:rFonts w:eastAsia="Arial"/>
        </w:rPr>
        <w:t xml:space="preserve"> </w:t>
      </w:r>
      <w:r>
        <w:t xml:space="preserve">beton C15/20 i C20/25 do wykonania fundamentów, </w:t>
      </w:r>
    </w:p>
    <w:p w14:paraId="1835BE54" w14:textId="7563DA27" w:rsidR="00CF60C2" w:rsidRDefault="00CF60C2" w:rsidP="00CF60C2">
      <w:pPr>
        <w:pStyle w:val="atrepunktowanie"/>
      </w:pPr>
      <w:r>
        <w:t xml:space="preserve">elementy łącznikowe, np. wkręty, kotwy, itp. Wykonane ze stali ocynkowanej; </w:t>
      </w:r>
    </w:p>
    <w:p w14:paraId="60D36C63" w14:textId="5EB96427" w:rsidR="00CF60C2" w:rsidRDefault="00CF60C2" w:rsidP="00CF60C2">
      <w:pPr>
        <w:pStyle w:val="apunkt1"/>
      </w:pPr>
      <w:r>
        <w:t xml:space="preserve">SPRZĘT </w:t>
      </w:r>
    </w:p>
    <w:p w14:paraId="29F203EF" w14:textId="77EDC6EB" w:rsidR="00CF60C2" w:rsidRDefault="00CF60C2" w:rsidP="00CF60C2">
      <w:pPr>
        <w:pStyle w:val="apunkt11"/>
      </w:pPr>
      <w:r>
        <w:t xml:space="preserve">Ogólne wymagania dotyczące sprzętu </w:t>
      </w:r>
    </w:p>
    <w:p w14:paraId="0920F86A" w14:textId="0532D08A" w:rsidR="00CF60C2" w:rsidRDefault="00CF60C2" w:rsidP="00CF60C2">
      <w:pPr>
        <w:pStyle w:val="atre"/>
      </w:pPr>
      <w:r>
        <w:t xml:space="preserve">Ogólne wymagania dotyczące sprzętu podano w OST PZ-00.00.00. „Wymagania ogólne" pkt. 3. </w:t>
      </w:r>
    </w:p>
    <w:p w14:paraId="50E6A7EA" w14:textId="5D973185" w:rsidR="00CF60C2" w:rsidRDefault="00CF60C2" w:rsidP="00CF60C2">
      <w:pPr>
        <w:pStyle w:val="apunkt11"/>
      </w:pPr>
      <w:r>
        <w:t xml:space="preserve">Sprzęt do robót wykonawczo - montażowych </w:t>
      </w:r>
    </w:p>
    <w:p w14:paraId="3BC498B2" w14:textId="77777777" w:rsidR="00CF60C2" w:rsidRDefault="00CF60C2" w:rsidP="00CF60C2">
      <w:pPr>
        <w:pStyle w:val="atre"/>
      </w:pPr>
      <w:r>
        <w:t xml:space="preserve">Do wykonania robót związanych z wykonaniem i montażem urządzeń może być wykorzystany sprzęt podany poniżej lub inny zaakceptowany przez Inspektora Nadzoru: </w:t>
      </w:r>
    </w:p>
    <w:p w14:paraId="0022B298" w14:textId="77777777" w:rsidR="00CF60C2" w:rsidRDefault="00CF60C2" w:rsidP="00CF60C2">
      <w:pPr>
        <w:pStyle w:val="atrepunktowanie"/>
      </w:pPr>
      <w:r>
        <w:t xml:space="preserve">minikoparka </w:t>
      </w:r>
    </w:p>
    <w:p w14:paraId="4E2A2119" w14:textId="77777777" w:rsidR="00CF60C2" w:rsidRDefault="00CF60C2" w:rsidP="00CF60C2">
      <w:pPr>
        <w:pStyle w:val="atrepunktowanie"/>
      </w:pPr>
      <w:r>
        <w:t xml:space="preserve">samochody dostawcze, </w:t>
      </w:r>
    </w:p>
    <w:p w14:paraId="4144988C" w14:textId="77777777" w:rsidR="00CF60C2" w:rsidRDefault="00CF60C2" w:rsidP="00CF60C2">
      <w:pPr>
        <w:pStyle w:val="atrepunktowanie"/>
      </w:pPr>
      <w:r>
        <w:t xml:space="preserve">świder do wykonania wykopu, </w:t>
      </w:r>
    </w:p>
    <w:p w14:paraId="4439E083" w14:textId="0C222067" w:rsidR="00CF60C2" w:rsidRDefault="00CF60C2" w:rsidP="00CF60C2">
      <w:pPr>
        <w:pStyle w:val="atrepunktowanie"/>
      </w:pPr>
      <w:r>
        <w:t xml:space="preserve">sprzęt do robót budowlano - stolarskich. </w:t>
      </w:r>
    </w:p>
    <w:p w14:paraId="7B66EB4F" w14:textId="2B60E589" w:rsidR="00CF60C2" w:rsidRDefault="00CF60C2" w:rsidP="00CF60C2">
      <w:pPr>
        <w:pStyle w:val="apunkt1"/>
      </w:pPr>
      <w:r>
        <w:t xml:space="preserve">TRANSPORT </w:t>
      </w:r>
    </w:p>
    <w:p w14:paraId="365E4137" w14:textId="54811869" w:rsidR="00CF60C2" w:rsidRDefault="00CF60C2" w:rsidP="00CF60C2">
      <w:pPr>
        <w:pStyle w:val="apunkt11"/>
      </w:pPr>
      <w:r>
        <w:t xml:space="preserve">Ogólne wymagania dotyczące transportu </w:t>
      </w:r>
    </w:p>
    <w:p w14:paraId="1015E384" w14:textId="095BC016" w:rsidR="00CF60C2" w:rsidRDefault="00CF60C2" w:rsidP="00CF60C2">
      <w:pPr>
        <w:pStyle w:val="atre"/>
      </w:pPr>
      <w:r>
        <w:t xml:space="preserve">Ogólne wymagania dotyczące transportu podano w OST PZ-00.00.00. „Wymagania ogólne" pkt 4. </w:t>
      </w:r>
    </w:p>
    <w:p w14:paraId="32C5EA6A" w14:textId="4D691249" w:rsidR="00CF60C2" w:rsidRDefault="00CF60C2" w:rsidP="00CF60C2">
      <w:pPr>
        <w:pStyle w:val="apunkt11"/>
      </w:pPr>
      <w:r>
        <w:t xml:space="preserve">Transport materiałów </w:t>
      </w:r>
    </w:p>
    <w:p w14:paraId="45DED8F1" w14:textId="25F137CB" w:rsidR="00CF60C2" w:rsidRDefault="00CF60C2" w:rsidP="00CF60C2">
      <w:pPr>
        <w:pStyle w:val="atre"/>
      </w:pPr>
      <w:r>
        <w:t>Materiały należy przewozić środkami transportu samochodowego. Przy ruchu po drogach publicznych pojazdy powinny spełniać wymagania dotyczące przepisów ruchu drogowego w odniesieniu do dopuszczalnych obciążeń na osie, wymiarów ładunków  i innych parametrów technicznych.</w:t>
      </w:r>
      <w:r>
        <w:rPr>
          <w:b/>
        </w:rPr>
        <w:t xml:space="preserve"> </w:t>
      </w:r>
      <w:r>
        <w:t xml:space="preserve"> </w:t>
      </w:r>
    </w:p>
    <w:p w14:paraId="11356235" w14:textId="7B0CCA2A" w:rsidR="00CF60C2" w:rsidRDefault="00CF60C2" w:rsidP="00CF60C2">
      <w:pPr>
        <w:pStyle w:val="apunkt1"/>
      </w:pPr>
      <w:r>
        <w:t xml:space="preserve">WYKONANIE ROBÓT </w:t>
      </w:r>
    </w:p>
    <w:p w14:paraId="480537C3" w14:textId="437FF5AD" w:rsidR="00CF60C2" w:rsidRDefault="00CF60C2" w:rsidP="00CF60C2">
      <w:pPr>
        <w:pStyle w:val="apunkt11"/>
      </w:pPr>
      <w:r>
        <w:t xml:space="preserve">Ogólne zasady wykonania robót </w:t>
      </w:r>
    </w:p>
    <w:p w14:paraId="0B3909A3" w14:textId="77777777" w:rsidR="00CF60C2" w:rsidRDefault="00CF60C2" w:rsidP="00CF60C2">
      <w:pPr>
        <w:pStyle w:val="atre"/>
      </w:pPr>
      <w:r>
        <w:t xml:space="preserve">Ogólne zasady wykonania robót podano w OST PZ-00.00. „Wymagania ogólne" pkt. 5. </w:t>
      </w:r>
    </w:p>
    <w:p w14:paraId="5D4B850C" w14:textId="7277A503" w:rsidR="00CF60C2" w:rsidRDefault="00CF60C2" w:rsidP="00CF60C2">
      <w:pPr>
        <w:pStyle w:val="atre"/>
      </w:pPr>
      <w:r>
        <w:t xml:space="preserve">Wszelkie użyte w projekcie nazwy własne materiałów i urządzeń służą określeniu standardu wykonania, stref bezpieczeństwa lub określeniu standardu estetycznego. Wskazane znaki towarowe, patenty, marki lub nazwy producenta czy źródła lub szczególne procesy wskazujące na pochodzenie określają jedynie klasę produktu, metody, materiałów, urządzeń, systemów, technologii itp. W ofercie można przyjąć metody, materiały, urządzenia, systemy, technologie itp. innych marek  i producentów, jednak o parametrach technicznych, jakościowych i właściwościach użytkowych oraz funkcjonalnych odpowiadających metodom, materiałom, urządzeniom, systemom, technologiom itp. opisanym w dokumentacji projektowej. Równoważne metody, materiały, urządzenia, systemy, technologie itp. mogą stanowić zamienniki w stosunku do metod, materiałów, urządzeń, systemów, technologii itp. opisanych w dokumentacji za pomocą znaków towarowych, patentów, pochodzenia, źródła lub szczególnego procesu. Wszędzie tam, gdzie podane są wymiary niektórych elementów dokumentacji (np. elementy wyposażenia terenu, itp.), dopuszcza się nie więcej niż 10% tolerancji w wymiarach tych elementów. </w:t>
      </w:r>
    </w:p>
    <w:p w14:paraId="353C0DD4" w14:textId="0BA99653" w:rsidR="00CF60C2" w:rsidRDefault="00CF60C2" w:rsidP="00CF60C2">
      <w:pPr>
        <w:pStyle w:val="apunkt11"/>
      </w:pPr>
      <w:r>
        <w:t xml:space="preserve">Montaż elementów wyposażenia parkowego </w:t>
      </w:r>
    </w:p>
    <w:p w14:paraId="6C8835E5" w14:textId="5E2BA95A" w:rsidR="00CF60C2" w:rsidRDefault="00CF60C2" w:rsidP="00CF60C2">
      <w:pPr>
        <w:pStyle w:val="atre"/>
      </w:pPr>
      <w:r>
        <w:t xml:space="preserve"> Elementy należy zamontować zgodnie z zaleceniami producenta oraz wg dokumentacji projektowej. </w:t>
      </w:r>
    </w:p>
    <w:p w14:paraId="408884D5" w14:textId="285DB1FA" w:rsidR="00CF60C2" w:rsidRDefault="00CF60C2" w:rsidP="00CF60C2">
      <w:pPr>
        <w:pStyle w:val="apunkt1"/>
      </w:pPr>
      <w:r>
        <w:t xml:space="preserve">KONTROLA JAKOŚCI ROBÓT </w:t>
      </w:r>
    </w:p>
    <w:p w14:paraId="505CB5EC" w14:textId="4DB927B4" w:rsidR="00CF60C2" w:rsidRDefault="00CF60C2" w:rsidP="00CF60C2">
      <w:pPr>
        <w:pStyle w:val="apunkt11"/>
      </w:pPr>
      <w:r>
        <w:t xml:space="preserve">Ogólne zasady kontroli jakości robót </w:t>
      </w:r>
    </w:p>
    <w:p w14:paraId="0FBBF0B6" w14:textId="77777777" w:rsidR="00CF60C2" w:rsidRDefault="00CF60C2" w:rsidP="00CF60C2">
      <w:pPr>
        <w:pStyle w:val="atre"/>
      </w:pPr>
      <w:r>
        <w:t>Ogólne zasady kontroli jakości robót podano w OST PZ-00.00.00. „Wymagania ogólne" pkt. 6.</w:t>
      </w:r>
      <w:r>
        <w:rPr>
          <w:b/>
          <w:sz w:val="24"/>
        </w:rPr>
        <w:t xml:space="preserve">  </w:t>
      </w:r>
    </w:p>
    <w:p w14:paraId="380E1EA7" w14:textId="77777777" w:rsidR="00CF60C2" w:rsidRDefault="00CF60C2" w:rsidP="00CF60C2">
      <w:pPr>
        <w:spacing w:line="259" w:lineRule="auto"/>
        <w:ind w:left="50"/>
      </w:pPr>
      <w:r>
        <w:rPr>
          <w:b/>
        </w:rPr>
        <w:t xml:space="preserve"> </w:t>
      </w:r>
    </w:p>
    <w:p w14:paraId="10BAD0C6" w14:textId="4F97774E" w:rsidR="00CF60C2" w:rsidRDefault="00CF60C2" w:rsidP="00CF60C2">
      <w:pPr>
        <w:pStyle w:val="apunkt11"/>
      </w:pPr>
      <w:r>
        <w:lastRenderedPageBreak/>
        <w:t>Kontrola jakości robót wykonawczo - montażowych</w:t>
      </w:r>
      <w:r>
        <w:rPr>
          <w:sz w:val="24"/>
        </w:rPr>
        <w:t xml:space="preserve"> </w:t>
      </w:r>
      <w:r>
        <w:t xml:space="preserve">Kontroli jakości robót podlegają: </w:t>
      </w:r>
    </w:p>
    <w:p w14:paraId="69E8092E" w14:textId="77777777" w:rsidR="00CF60C2" w:rsidRDefault="00CF60C2" w:rsidP="00CF60C2">
      <w:pPr>
        <w:pStyle w:val="atrepunktowanie"/>
      </w:pPr>
      <w:r>
        <w:t xml:space="preserve">jakość użytych materiałów, </w:t>
      </w:r>
    </w:p>
    <w:p w14:paraId="0DE597EC" w14:textId="573B0294" w:rsidR="00CF60C2" w:rsidRDefault="00CF60C2" w:rsidP="00CF60C2">
      <w:pPr>
        <w:pStyle w:val="atrepunktowanie"/>
      </w:pPr>
      <w:r>
        <w:t xml:space="preserve">zgodność wykonania robót z dokumentacją projektową oraz z poleceniami Inspektora Nadzoru. </w:t>
      </w:r>
    </w:p>
    <w:p w14:paraId="3C01EE62" w14:textId="3CA51E93" w:rsidR="00CF60C2" w:rsidRDefault="00CF60C2" w:rsidP="00CF60C2">
      <w:pPr>
        <w:pStyle w:val="apunkt11"/>
      </w:pPr>
      <w:r>
        <w:t xml:space="preserve">Kontrola stanu urządzeń </w:t>
      </w:r>
    </w:p>
    <w:p w14:paraId="26FEE01A" w14:textId="79BCD7B4" w:rsidR="00CF60C2" w:rsidRDefault="00CF60C2" w:rsidP="00CF60C2">
      <w:pPr>
        <w:pStyle w:val="atre"/>
      </w:pPr>
      <w:r>
        <w:t xml:space="preserve">Kontrolę stanu technicznego urządzenia należy wykonywać co 3 miesiące. </w:t>
      </w:r>
    </w:p>
    <w:p w14:paraId="1AE81E8A" w14:textId="1EB13C40" w:rsidR="00CF60C2" w:rsidRDefault="00CF60C2" w:rsidP="00CF60C2">
      <w:pPr>
        <w:pStyle w:val="apunkt1"/>
      </w:pPr>
      <w:r>
        <w:t xml:space="preserve">OBMIAR ROBÓT </w:t>
      </w:r>
    </w:p>
    <w:p w14:paraId="4AE4DF49" w14:textId="1BF10793" w:rsidR="00CF60C2" w:rsidRDefault="00CF60C2" w:rsidP="00CF60C2">
      <w:pPr>
        <w:pStyle w:val="atre"/>
      </w:pPr>
      <w:r>
        <w:t xml:space="preserve">Ogólne zasady obmiaru robót podano w OST PZ-00.00.00. „Wymagania ogólne" pkt. 7. </w:t>
      </w:r>
    </w:p>
    <w:p w14:paraId="4956BDFF" w14:textId="44F2B4F5" w:rsidR="00CF60C2" w:rsidRDefault="00CF60C2" w:rsidP="00CF60C2">
      <w:pPr>
        <w:pStyle w:val="apunkt11"/>
      </w:pPr>
      <w:r>
        <w:t xml:space="preserve">Jednostka obmiarowa </w:t>
      </w:r>
    </w:p>
    <w:p w14:paraId="35D9EA86" w14:textId="423E8AE4" w:rsidR="00CF60C2" w:rsidRDefault="00CF60C2" w:rsidP="00CF60C2">
      <w:pPr>
        <w:pStyle w:val="atre"/>
      </w:pPr>
      <w:r>
        <w:t xml:space="preserve">  Jednostką obmiarową robót związanych z wykonaniem i montażem </w:t>
      </w:r>
      <w:r w:rsidR="00B9491C">
        <w:t>elementów małej architektury</w:t>
      </w:r>
      <w:r>
        <w:t xml:space="preserve"> jest 1 </w:t>
      </w:r>
      <w:proofErr w:type="spellStart"/>
      <w:r>
        <w:t>kpl</w:t>
      </w:r>
      <w:proofErr w:type="spellEnd"/>
      <w:r>
        <w:t xml:space="preserve"> (komplet). </w:t>
      </w:r>
    </w:p>
    <w:p w14:paraId="0406E4D5" w14:textId="729E7B72" w:rsidR="00CF60C2" w:rsidRDefault="00CF60C2" w:rsidP="00CF60C2">
      <w:pPr>
        <w:pStyle w:val="apunkt1"/>
      </w:pPr>
      <w:r>
        <w:t xml:space="preserve">ODBIÓR ROBÓT </w:t>
      </w:r>
    </w:p>
    <w:p w14:paraId="1785842A" w14:textId="77777777" w:rsidR="00CF60C2" w:rsidRDefault="00CF60C2" w:rsidP="00CF60C2">
      <w:pPr>
        <w:pStyle w:val="atre"/>
      </w:pPr>
      <w:r>
        <w:t xml:space="preserve">Ogólne zasady odbioru robót podano w OST PZ-00.00.00. „Wymagania ogólne" pkt 8.  </w:t>
      </w:r>
    </w:p>
    <w:p w14:paraId="782C0F5A" w14:textId="77777777" w:rsidR="00CF60C2" w:rsidRDefault="00CF60C2" w:rsidP="00CF60C2">
      <w:pPr>
        <w:spacing w:line="259" w:lineRule="auto"/>
        <w:ind w:left="756"/>
      </w:pPr>
      <w:r>
        <w:t xml:space="preserve"> </w:t>
      </w:r>
    </w:p>
    <w:p w14:paraId="4D55F691" w14:textId="0EAE8D30" w:rsidR="00CF60C2" w:rsidRDefault="00CF60C2" w:rsidP="00CF60C2">
      <w:pPr>
        <w:pStyle w:val="apunkt11"/>
      </w:pPr>
      <w:r>
        <w:t xml:space="preserve">Warunki odbioru robót </w:t>
      </w:r>
    </w:p>
    <w:p w14:paraId="75E0F0B7" w14:textId="77777777" w:rsidR="00CF60C2" w:rsidRDefault="00CF60C2" w:rsidP="00CF60C2">
      <w:pPr>
        <w:pStyle w:val="atre"/>
      </w:pPr>
      <w:r>
        <w:t xml:space="preserve">Odbioru dokonuje Inspektor Nadzoru, po zgłoszeniu robót do odbioru przez Wykonawcę. Odbiór powinien być przeprowadzony w czasie umożliwiającym wykonanie ewentualnych poprawek bez hamowania postępu robót. </w:t>
      </w:r>
    </w:p>
    <w:p w14:paraId="517F86BA" w14:textId="77777777" w:rsidR="00CF60C2" w:rsidRDefault="00CF60C2" w:rsidP="00CF60C2">
      <w:pPr>
        <w:spacing w:line="259" w:lineRule="auto"/>
        <w:ind w:left="744"/>
      </w:pPr>
      <w:r>
        <w:t xml:space="preserve"> </w:t>
      </w:r>
    </w:p>
    <w:p w14:paraId="24607D4A" w14:textId="0EFA9453" w:rsidR="00CF60C2" w:rsidRDefault="00CF60C2" w:rsidP="00CF60C2">
      <w:pPr>
        <w:pStyle w:val="apunkt11"/>
      </w:pPr>
      <w:r>
        <w:t xml:space="preserve">Odbiór ostateczny </w:t>
      </w:r>
    </w:p>
    <w:p w14:paraId="24B3530E" w14:textId="77777777" w:rsidR="00CF60C2" w:rsidRDefault="00CF60C2" w:rsidP="00CF60C2">
      <w:pPr>
        <w:pStyle w:val="atre"/>
      </w:pPr>
      <w:r>
        <w:t xml:space="preserve">Prace związane z Wykonaniem lub montażem urządzeń powinny zostać wykonane zgodnie z dokumentacją projektową oraz poleceniami Inspektora Nadzoru.  </w:t>
      </w:r>
    </w:p>
    <w:p w14:paraId="0E860B64" w14:textId="77777777" w:rsidR="00CF60C2" w:rsidRDefault="00CF60C2" w:rsidP="00CF60C2">
      <w:pPr>
        <w:spacing w:line="259" w:lineRule="auto"/>
        <w:ind w:left="43"/>
      </w:pPr>
      <w:r>
        <w:rPr>
          <w:b/>
        </w:rPr>
        <w:t xml:space="preserve"> </w:t>
      </w:r>
    </w:p>
    <w:p w14:paraId="476FC3DC" w14:textId="76BBD917" w:rsidR="00CF60C2" w:rsidRDefault="00CF60C2" w:rsidP="00CF60C2">
      <w:pPr>
        <w:pStyle w:val="apunkt1"/>
      </w:pPr>
      <w:r>
        <w:t xml:space="preserve">PODSTAWA PŁATNOŚCI </w:t>
      </w:r>
    </w:p>
    <w:p w14:paraId="5D8F1DE4" w14:textId="00E8568D" w:rsidR="00CF60C2" w:rsidRDefault="00CF60C2" w:rsidP="00CF60C2">
      <w:pPr>
        <w:pStyle w:val="atre"/>
      </w:pPr>
      <w:r>
        <w:t xml:space="preserve">Ogólne ustalenia dotyczące podstawy płatności podano w OST PZ-00.00.00. „Wymagania ogólne" pkt. 9. </w:t>
      </w:r>
    </w:p>
    <w:p w14:paraId="567A9E9A" w14:textId="77777777" w:rsidR="00CF60C2" w:rsidRDefault="00CF60C2" w:rsidP="00CF60C2">
      <w:pPr>
        <w:pStyle w:val="atre"/>
      </w:pPr>
      <w:r>
        <w:t xml:space="preserve">Roboty rozliczane będą ryczałtowo lub zgodnie z zapisami Umowy. </w:t>
      </w:r>
    </w:p>
    <w:p w14:paraId="39234D91" w14:textId="77777777" w:rsidR="00CF60C2" w:rsidRDefault="00CF60C2" w:rsidP="00CF60C2">
      <w:pPr>
        <w:spacing w:line="259" w:lineRule="auto"/>
        <w:ind w:left="36"/>
      </w:pPr>
      <w:r>
        <w:t xml:space="preserve"> </w:t>
      </w:r>
    </w:p>
    <w:p w14:paraId="1A63826E" w14:textId="4FC471FC" w:rsidR="00CF60C2" w:rsidRDefault="00CF60C2" w:rsidP="00CF60C2">
      <w:pPr>
        <w:pStyle w:val="apunkt1"/>
      </w:pPr>
      <w:r>
        <w:t xml:space="preserve">PRZEPISY ZWIĄZANE </w:t>
      </w:r>
    </w:p>
    <w:p w14:paraId="768F65C3" w14:textId="77777777" w:rsidR="00CF60C2" w:rsidRDefault="00CF60C2" w:rsidP="00CF60C2">
      <w:pPr>
        <w:pStyle w:val="atrepunktowanie"/>
      </w:pPr>
      <w:r>
        <w:t xml:space="preserve">BN-80/6775-03/01 Prefabrykaty budowlane z betonu. Elementy nawierzchni dróg, ulic, parkingów i torowisk tramwajowych. Wspólne wymagania i badania. </w:t>
      </w:r>
    </w:p>
    <w:p w14:paraId="763FE5B1" w14:textId="77777777" w:rsidR="00CF60C2" w:rsidRDefault="00CF60C2" w:rsidP="00CF60C2">
      <w:pPr>
        <w:pStyle w:val="atrepunktowanie"/>
      </w:pPr>
      <w:r>
        <w:t xml:space="preserve">PN-88/B-06250 Beton zwykły </w:t>
      </w:r>
    </w:p>
    <w:p w14:paraId="0C5BC13F" w14:textId="77777777" w:rsidR="00CF60C2" w:rsidRDefault="00CF60C2" w:rsidP="00CF60C2">
      <w:pPr>
        <w:pStyle w:val="atrepunktowanie"/>
      </w:pPr>
      <w:r>
        <w:t xml:space="preserve">PN-88/B-04300 Cement. Metody badań. Oznaczenie cech fizycznych.  </w:t>
      </w:r>
    </w:p>
    <w:p w14:paraId="371150CC" w14:textId="77777777" w:rsidR="00CF60C2" w:rsidRDefault="00CF60C2" w:rsidP="00CF60C2">
      <w:pPr>
        <w:pStyle w:val="atrepunktowanie"/>
      </w:pPr>
      <w:r>
        <w:t xml:space="preserve">BN-88/6731-08 Cement. Transport i przechowywanie. </w:t>
      </w:r>
    </w:p>
    <w:p w14:paraId="2E5583D1" w14:textId="77777777" w:rsidR="00CF60C2" w:rsidRDefault="00CF60C2" w:rsidP="00CF60C2">
      <w:pPr>
        <w:pStyle w:val="atrepunktowanie"/>
      </w:pPr>
      <w:r>
        <w:t xml:space="preserve">PN-85/B-23010 Domieszki do betonu. Klasyfikacja i określenia. </w:t>
      </w:r>
    </w:p>
    <w:p w14:paraId="21AEBD5F" w14:textId="77777777" w:rsidR="00CF60C2" w:rsidRDefault="00CF60C2" w:rsidP="00CF60C2">
      <w:pPr>
        <w:pStyle w:val="atrepunktowanie"/>
      </w:pPr>
      <w:r>
        <w:t xml:space="preserve">PN-88/B-30000 Cement portlandzki. </w:t>
      </w:r>
    </w:p>
    <w:p w14:paraId="47A3B430" w14:textId="77777777" w:rsidR="00CF60C2" w:rsidRDefault="00CF60C2" w:rsidP="00CF60C2">
      <w:pPr>
        <w:pStyle w:val="atrepunktowanie"/>
      </w:pPr>
      <w:r>
        <w:t xml:space="preserve">PN-88/B-30001 Cement portlandzki z dodatkami. </w:t>
      </w:r>
    </w:p>
    <w:p w14:paraId="6E4464A2" w14:textId="77777777" w:rsidR="00CF60C2" w:rsidRDefault="00CF60C2" w:rsidP="00CF60C2">
      <w:pPr>
        <w:pStyle w:val="atrepunktowanie"/>
      </w:pPr>
      <w:r>
        <w:t xml:space="preserve">PN-88/B-30005 Cement hutniczy. </w:t>
      </w:r>
    </w:p>
    <w:p w14:paraId="50D59AD4" w14:textId="77777777" w:rsidR="00CF60C2" w:rsidRDefault="00CF60C2" w:rsidP="00CF60C2">
      <w:pPr>
        <w:pStyle w:val="atrepunktowanie"/>
      </w:pPr>
      <w:r>
        <w:t xml:space="preserve">10.PN-79/B-06711 Kruszywo mineralne. Piasek do betonów i zapraw. </w:t>
      </w:r>
    </w:p>
    <w:p w14:paraId="2DA19A26" w14:textId="77777777" w:rsidR="00CF60C2" w:rsidRDefault="00CF60C2" w:rsidP="00CF60C2">
      <w:pPr>
        <w:pStyle w:val="atrepunktowanie"/>
      </w:pPr>
      <w:r>
        <w:t xml:space="preserve">PN-88/B-32250 Materiały budowlane. Woda do betonów i zapraw </w:t>
      </w:r>
      <w:r>
        <w:rPr>
          <w:rFonts w:ascii="Times New Roman" w:eastAsia="Times New Roman" w:hAnsi="Times New Roman" w:cs="Times New Roman"/>
        </w:rPr>
        <w:t>-</w:t>
      </w:r>
      <w:r>
        <w:rPr>
          <w:rFonts w:eastAsia="Arial"/>
        </w:rPr>
        <w:t xml:space="preserve"> </w:t>
      </w:r>
      <w:r>
        <w:t xml:space="preserve">BN-72/8932-01 Budowle kolejowe i drogowe. Roboty ziemne. </w:t>
      </w:r>
    </w:p>
    <w:p w14:paraId="2BA36332" w14:textId="77777777" w:rsidR="00CF60C2" w:rsidRDefault="00CF60C2" w:rsidP="00CF60C2">
      <w:pPr>
        <w:pStyle w:val="atrepunktowanie"/>
      </w:pPr>
      <w:r>
        <w:t xml:space="preserve">PN-86/B-06712 Kruszywa mineralne do betonu zwykłego. </w:t>
      </w:r>
    </w:p>
    <w:p w14:paraId="36214244" w14:textId="77777777" w:rsidR="00CF60C2" w:rsidRDefault="00CF60C2" w:rsidP="00CF60C2">
      <w:pPr>
        <w:pStyle w:val="atrepunktowanie"/>
      </w:pPr>
      <w:r>
        <w:t xml:space="preserve">PN-68/B-06050 Roboty ziemne budowlane </w:t>
      </w:r>
    </w:p>
    <w:p w14:paraId="34F80106" w14:textId="77777777" w:rsidR="00CF60C2" w:rsidRDefault="00CF60C2" w:rsidP="00CF60C2">
      <w:pPr>
        <w:pStyle w:val="atrepunktowanie"/>
      </w:pPr>
      <w:r>
        <w:t xml:space="preserve">PN-80/B-10021 Prefabrykaty budowlane z betonu. Metody pomiaru cech geometrycznych. </w:t>
      </w:r>
    </w:p>
    <w:p w14:paraId="294C003F" w14:textId="77777777" w:rsidR="00CF60C2" w:rsidRDefault="00CF60C2" w:rsidP="00CF60C2">
      <w:pPr>
        <w:spacing w:line="259" w:lineRule="auto"/>
        <w:ind w:left="36"/>
      </w:pPr>
      <w:r>
        <w:t xml:space="preserve"> </w:t>
      </w:r>
    </w:p>
    <w:p w14:paraId="63B24C26" w14:textId="77777777" w:rsidR="00CF60C2" w:rsidRDefault="00CF60C2" w:rsidP="00CF60C2">
      <w:pPr>
        <w:spacing w:line="259" w:lineRule="auto"/>
        <w:ind w:left="36"/>
      </w:pPr>
      <w:r>
        <w:lastRenderedPageBreak/>
        <w:t xml:space="preserve"> </w:t>
      </w:r>
    </w:p>
    <w:p w14:paraId="4A2030C9" w14:textId="77777777" w:rsidR="00CF60C2" w:rsidRDefault="00CF60C2" w:rsidP="00CF60C2">
      <w:pPr>
        <w:spacing w:line="259" w:lineRule="auto"/>
        <w:ind w:left="36"/>
      </w:pPr>
      <w:r>
        <w:t xml:space="preserve"> </w:t>
      </w:r>
    </w:p>
    <w:p w14:paraId="4FFC66D6" w14:textId="77777777" w:rsidR="00CF60C2" w:rsidRDefault="00CF60C2" w:rsidP="00CF60C2">
      <w:pPr>
        <w:spacing w:line="259" w:lineRule="auto"/>
        <w:ind w:left="36"/>
      </w:pPr>
      <w:r>
        <w:t xml:space="preserve"> </w:t>
      </w:r>
    </w:p>
    <w:p w14:paraId="2101F516" w14:textId="77777777" w:rsidR="00CF60C2" w:rsidRDefault="00CF60C2" w:rsidP="00CF60C2">
      <w:pPr>
        <w:spacing w:line="259" w:lineRule="auto"/>
        <w:ind w:left="36"/>
      </w:pPr>
      <w:r>
        <w:t xml:space="preserve"> </w:t>
      </w:r>
    </w:p>
    <w:p w14:paraId="6324228F" w14:textId="77777777" w:rsidR="00CF60C2" w:rsidRDefault="00CF60C2" w:rsidP="00CF60C2">
      <w:pPr>
        <w:spacing w:line="259" w:lineRule="auto"/>
        <w:ind w:left="36"/>
      </w:pPr>
      <w:r>
        <w:t xml:space="preserve"> </w:t>
      </w:r>
    </w:p>
    <w:p w14:paraId="7C4EB26B" w14:textId="77777777" w:rsidR="00CF60C2" w:rsidRDefault="00CF60C2" w:rsidP="00CF60C2">
      <w:pPr>
        <w:spacing w:line="259" w:lineRule="auto"/>
        <w:ind w:left="36"/>
      </w:pPr>
      <w:r>
        <w:t xml:space="preserve"> </w:t>
      </w:r>
    </w:p>
    <w:p w14:paraId="721FB757" w14:textId="77777777" w:rsidR="00CF60C2" w:rsidRDefault="00CF60C2" w:rsidP="00CF60C2">
      <w:pPr>
        <w:spacing w:line="259" w:lineRule="auto"/>
        <w:ind w:left="36"/>
      </w:pPr>
      <w:r>
        <w:t xml:space="preserve"> </w:t>
      </w:r>
    </w:p>
    <w:p w14:paraId="45C98A34" w14:textId="77777777" w:rsidR="00CF60C2" w:rsidRDefault="00CF60C2" w:rsidP="00CF60C2">
      <w:pPr>
        <w:spacing w:line="259" w:lineRule="auto"/>
        <w:ind w:left="36"/>
      </w:pPr>
      <w:r>
        <w:t xml:space="preserve"> </w:t>
      </w:r>
    </w:p>
    <w:p w14:paraId="5FC7C1A2" w14:textId="77777777" w:rsidR="00CF60C2" w:rsidRDefault="00CF60C2" w:rsidP="00CF60C2">
      <w:pPr>
        <w:spacing w:line="259" w:lineRule="auto"/>
        <w:ind w:left="36"/>
      </w:pPr>
      <w:r>
        <w:t xml:space="preserve"> </w:t>
      </w:r>
    </w:p>
    <w:p w14:paraId="0D5C4E67" w14:textId="77777777" w:rsidR="00CF60C2" w:rsidRDefault="00CF60C2" w:rsidP="00CF60C2">
      <w:pPr>
        <w:spacing w:line="259" w:lineRule="auto"/>
        <w:ind w:left="36"/>
      </w:pPr>
      <w:r>
        <w:t xml:space="preserve"> </w:t>
      </w:r>
    </w:p>
    <w:p w14:paraId="29388422" w14:textId="77777777" w:rsidR="00CF60C2" w:rsidRDefault="00CF60C2" w:rsidP="00CF60C2">
      <w:pPr>
        <w:spacing w:line="259" w:lineRule="auto"/>
        <w:ind w:left="36"/>
      </w:pPr>
      <w:r>
        <w:t xml:space="preserve"> </w:t>
      </w:r>
    </w:p>
    <w:p w14:paraId="7831E776" w14:textId="77777777" w:rsidR="00CF60C2" w:rsidRDefault="00CF60C2" w:rsidP="00CF60C2">
      <w:pPr>
        <w:spacing w:line="259" w:lineRule="auto"/>
        <w:ind w:left="36"/>
      </w:pPr>
      <w:r>
        <w:t xml:space="preserve"> </w:t>
      </w:r>
    </w:p>
    <w:p w14:paraId="2D899547" w14:textId="77777777" w:rsidR="00CF60C2" w:rsidRDefault="00CF60C2" w:rsidP="00CF60C2">
      <w:pPr>
        <w:spacing w:line="259" w:lineRule="auto"/>
        <w:ind w:left="36"/>
      </w:pPr>
      <w:r>
        <w:t xml:space="preserve"> </w:t>
      </w:r>
    </w:p>
    <w:p w14:paraId="12307E91" w14:textId="77777777" w:rsidR="00CF60C2" w:rsidRDefault="00CF60C2" w:rsidP="00CF60C2">
      <w:pPr>
        <w:spacing w:line="259" w:lineRule="auto"/>
        <w:ind w:left="36"/>
      </w:pPr>
      <w:r>
        <w:t xml:space="preserve"> </w:t>
      </w:r>
    </w:p>
    <w:p w14:paraId="697435DF" w14:textId="77777777" w:rsidR="00CF60C2" w:rsidRDefault="00CF60C2" w:rsidP="00CF60C2">
      <w:pPr>
        <w:spacing w:line="259" w:lineRule="auto"/>
        <w:ind w:left="36"/>
      </w:pPr>
      <w:r>
        <w:t xml:space="preserve"> </w:t>
      </w:r>
    </w:p>
    <w:p w14:paraId="2A43AADE" w14:textId="77777777" w:rsidR="00CF60C2" w:rsidRDefault="00CF60C2" w:rsidP="00CF60C2">
      <w:pPr>
        <w:spacing w:line="259" w:lineRule="auto"/>
        <w:ind w:left="36"/>
      </w:pPr>
      <w:r>
        <w:t xml:space="preserve"> </w:t>
      </w:r>
    </w:p>
    <w:p w14:paraId="00FECDFC" w14:textId="77777777" w:rsidR="00CF60C2" w:rsidRDefault="00CF60C2" w:rsidP="00CF60C2">
      <w:pPr>
        <w:spacing w:line="259" w:lineRule="auto"/>
        <w:ind w:left="36"/>
      </w:pPr>
      <w:r>
        <w:t xml:space="preserve"> </w:t>
      </w:r>
    </w:p>
    <w:p w14:paraId="4A30ED06" w14:textId="77777777" w:rsidR="00CF60C2" w:rsidRDefault="00CF60C2" w:rsidP="00CF60C2">
      <w:pPr>
        <w:spacing w:line="259" w:lineRule="auto"/>
        <w:ind w:left="36"/>
      </w:pPr>
      <w:r>
        <w:t xml:space="preserve"> </w:t>
      </w:r>
    </w:p>
    <w:p w14:paraId="5201ED06" w14:textId="77777777" w:rsidR="00CF60C2" w:rsidRDefault="00CF60C2" w:rsidP="00CF60C2">
      <w:pPr>
        <w:spacing w:line="259" w:lineRule="auto"/>
        <w:ind w:left="36"/>
      </w:pPr>
      <w:r>
        <w:t xml:space="preserve"> </w:t>
      </w:r>
    </w:p>
    <w:p w14:paraId="2EEEEF6C" w14:textId="77777777" w:rsidR="00CF60C2" w:rsidRDefault="00CF60C2" w:rsidP="00CF60C2">
      <w:pPr>
        <w:spacing w:line="259" w:lineRule="auto"/>
        <w:ind w:left="36"/>
      </w:pPr>
      <w:r>
        <w:t xml:space="preserve"> </w:t>
      </w:r>
    </w:p>
    <w:p w14:paraId="1F63DFD2" w14:textId="77777777" w:rsidR="00CF60C2" w:rsidRDefault="00CF60C2" w:rsidP="00CF60C2">
      <w:pPr>
        <w:spacing w:line="259" w:lineRule="auto"/>
        <w:ind w:left="36"/>
      </w:pPr>
      <w:r>
        <w:t xml:space="preserve"> </w:t>
      </w:r>
    </w:p>
    <w:p w14:paraId="4CE079F6" w14:textId="061C7762" w:rsidR="00D27FBF" w:rsidRPr="00CF60C2" w:rsidRDefault="00D27FBF" w:rsidP="00CF60C2">
      <w:pPr>
        <w:spacing w:line="259" w:lineRule="auto"/>
        <w:ind w:left="36"/>
      </w:pPr>
    </w:p>
    <w:sectPr w:rsidR="00D27FBF" w:rsidRPr="00CF60C2">
      <w:headerReference w:type="even" r:id="rId7"/>
      <w:headerReference w:type="default" r:id="rId8"/>
      <w:footerReference w:type="even" r:id="rId9"/>
      <w:footerReference w:type="default" r:id="rId10"/>
      <w:headerReference w:type="first" r:id="rId11"/>
      <w:footerReference w:type="first" r:id="rId12"/>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390A5" w14:textId="77777777" w:rsidR="00A3662B" w:rsidRDefault="00A3662B">
      <w:r>
        <w:separator/>
      </w:r>
    </w:p>
  </w:endnote>
  <w:endnote w:type="continuationSeparator" w:id="0">
    <w:p w14:paraId="59E3B771" w14:textId="77777777" w:rsidR="00A3662B" w:rsidRDefault="00A366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OpenSymbol">
    <w:panose1 w:val="05010000000000000000"/>
    <w:charset w:val="02"/>
    <w:family w:val="auto"/>
    <w:pitch w:val="default"/>
  </w:font>
  <w:font w:name="Arial Unicode MS;Arial">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1656" w14:textId="19BA8B03" w:rsidR="00960A07" w:rsidRDefault="00741474" w:rsidP="009E7C31">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4</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w:t>
    </w:r>
    <w:r w:rsidR="00CF60C2">
      <w:rPr>
        <w:rFonts w:ascii="Arial" w:hAnsi="Arial"/>
        <w:sz w:val="18"/>
        <w:szCs w:val="18"/>
      </w:rPr>
      <w:t xml:space="preserve">            </w:t>
    </w:r>
    <w:r w:rsidR="00CF60C2" w:rsidRPr="00CF60C2">
      <w:rPr>
        <w:rFonts w:ascii="Arial" w:hAnsi="Arial"/>
        <w:sz w:val="18"/>
        <w:szCs w:val="18"/>
      </w:rPr>
      <w:t>SST Mała architektura</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5B7F" w14:textId="6501EB3F" w:rsidR="00960A07" w:rsidRDefault="00CF60C2" w:rsidP="009E7C31">
    <w:pPr>
      <w:pStyle w:val="Stopka"/>
      <w:pBdr>
        <w:top w:val="single" w:sz="4" w:space="1" w:color="auto"/>
      </w:pBdr>
    </w:pPr>
    <w:r w:rsidRPr="00CF60C2">
      <w:rPr>
        <w:rFonts w:ascii="Arial" w:hAnsi="Arial"/>
        <w:sz w:val="18"/>
        <w:szCs w:val="18"/>
      </w:rPr>
      <w:t>SST Mała architektura</w:t>
    </w:r>
    <w:r w:rsidR="00741474">
      <w:rPr>
        <w:rFonts w:ascii="Arial" w:hAnsi="Arial"/>
        <w:sz w:val="18"/>
        <w:szCs w:val="18"/>
      </w:rPr>
      <w:tab/>
    </w:r>
    <w:r w:rsidR="00741474">
      <w:rPr>
        <w:rFonts w:ascii="Arial" w:hAnsi="Arial"/>
        <w:sz w:val="18"/>
        <w:szCs w:val="18"/>
      </w:rPr>
      <w:tab/>
      <w:t xml:space="preserve">            </w:t>
    </w:r>
    <w:proofErr w:type="spellStart"/>
    <w:r w:rsidR="00741474">
      <w:rPr>
        <w:rFonts w:ascii="Arial" w:hAnsi="Arial"/>
        <w:sz w:val="18"/>
        <w:szCs w:val="18"/>
      </w:rPr>
      <w:t>STWiOR</w:t>
    </w:r>
    <w:proofErr w:type="spellEnd"/>
    <w:r w:rsidR="00741474">
      <w:rPr>
        <w:rFonts w:ascii="Arial" w:hAnsi="Arial"/>
        <w:sz w:val="18"/>
        <w:szCs w:val="18"/>
      </w:rPr>
      <w:t xml:space="preserve">  </w:t>
    </w:r>
    <w:r w:rsidR="00741474">
      <w:rPr>
        <w:rFonts w:ascii="Arial" w:hAnsi="Arial"/>
        <w:sz w:val="18"/>
        <w:szCs w:val="18"/>
      </w:rPr>
      <w:fldChar w:fldCharType="begin"/>
    </w:r>
    <w:r w:rsidR="00741474">
      <w:rPr>
        <w:rFonts w:ascii="Arial" w:hAnsi="Arial"/>
        <w:sz w:val="18"/>
        <w:szCs w:val="18"/>
      </w:rPr>
      <w:instrText>PAGE</w:instrText>
    </w:r>
    <w:r w:rsidR="00741474">
      <w:rPr>
        <w:rFonts w:ascii="Arial" w:hAnsi="Arial"/>
        <w:sz w:val="18"/>
        <w:szCs w:val="18"/>
      </w:rPr>
      <w:fldChar w:fldCharType="separate"/>
    </w:r>
    <w:r w:rsidR="00741474">
      <w:rPr>
        <w:rFonts w:ascii="Arial" w:hAnsi="Arial"/>
        <w:sz w:val="18"/>
        <w:szCs w:val="18"/>
      </w:rPr>
      <w:t>5</w:t>
    </w:r>
    <w:r w:rsidR="00741474">
      <w:rPr>
        <w:rFonts w:ascii="Arial" w:hAnsi="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4E94A8" w14:textId="77777777" w:rsidR="00CF60C2" w:rsidRDefault="00CF60C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6488A" w14:textId="77777777" w:rsidR="00A3662B" w:rsidRDefault="00A3662B">
      <w:r>
        <w:separator/>
      </w:r>
    </w:p>
  </w:footnote>
  <w:footnote w:type="continuationSeparator" w:id="0">
    <w:p w14:paraId="558B8CB9" w14:textId="77777777" w:rsidR="00A3662B" w:rsidRDefault="00A366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DF40" w14:textId="4448FE87" w:rsidR="00960A07" w:rsidRDefault="00C6632E" w:rsidP="009E7C31">
    <w:pPr>
      <w:pStyle w:val="Nagwek"/>
      <w:pBdr>
        <w:bottom w:val="single" w:sz="4" w:space="1" w:color="auto"/>
      </w:pBdr>
      <w:jc w:val="center"/>
      <w:rPr>
        <w:rFonts w:ascii="Arial" w:hAnsi="Arial"/>
        <w:sz w:val="18"/>
        <w:szCs w:val="18"/>
      </w:rPr>
    </w:pPr>
    <w:r w:rsidRPr="00C6632E">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6D5E" w14:textId="0ED34DD0" w:rsidR="00960A07" w:rsidRDefault="00C6632E" w:rsidP="009E7C31">
    <w:pPr>
      <w:pStyle w:val="Nagwek"/>
      <w:pBdr>
        <w:bottom w:val="single" w:sz="4" w:space="1" w:color="auto"/>
      </w:pBdr>
      <w:jc w:val="center"/>
      <w:rPr>
        <w:rFonts w:ascii="Arial" w:hAnsi="Arial"/>
        <w:sz w:val="18"/>
        <w:szCs w:val="18"/>
      </w:rPr>
    </w:pPr>
    <w:r w:rsidRPr="00C6632E">
      <w:rPr>
        <w:rFonts w:ascii="Arial" w:hAnsi="Arial"/>
        <w:sz w:val="18"/>
        <w:szCs w:val="18"/>
      </w:rPr>
      <w:t>Rewitalizacja centrum Kramska dla działek (243/3, 242/3, 193) obręb Kramsk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383C89" w14:textId="77777777" w:rsidR="00CF60C2" w:rsidRDefault="00CF60C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Num7"/>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5"/>
    <w:multiLevelType w:val="multilevel"/>
    <w:tmpl w:val="00000005"/>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00000006"/>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1B942F08"/>
    <w:multiLevelType w:val="multilevel"/>
    <w:tmpl w:val="134482F0"/>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7" w15:restartNumberingAfterBreak="0">
    <w:nsid w:val="1ECC2320"/>
    <w:multiLevelType w:val="multilevel"/>
    <w:tmpl w:val="59E4D53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8" w15:restartNumberingAfterBreak="0">
    <w:nsid w:val="23A52250"/>
    <w:multiLevelType w:val="hybridMultilevel"/>
    <w:tmpl w:val="30BC2CE2"/>
    <w:lvl w:ilvl="0" w:tplc="427848CC">
      <w:start w:val="1"/>
      <w:numFmt w:val="bullet"/>
      <w:lvlText w:val="-"/>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F3A9072">
      <w:start w:val="1"/>
      <w:numFmt w:val="bullet"/>
      <w:lvlText w:val="o"/>
      <w:lvlJc w:val="left"/>
      <w:pPr>
        <w:ind w:left="14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0A06E596">
      <w:start w:val="1"/>
      <w:numFmt w:val="bullet"/>
      <w:lvlText w:val="▪"/>
      <w:lvlJc w:val="left"/>
      <w:pPr>
        <w:ind w:left="2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692AB5C">
      <w:start w:val="1"/>
      <w:numFmt w:val="bullet"/>
      <w:lvlText w:val="•"/>
      <w:lvlJc w:val="left"/>
      <w:pPr>
        <w:ind w:left="29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29411F6">
      <w:start w:val="1"/>
      <w:numFmt w:val="bullet"/>
      <w:lvlText w:val="o"/>
      <w:lvlJc w:val="left"/>
      <w:pPr>
        <w:ind w:left="36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B1073DE">
      <w:start w:val="1"/>
      <w:numFmt w:val="bullet"/>
      <w:lvlText w:val="▪"/>
      <w:lvlJc w:val="left"/>
      <w:pPr>
        <w:ind w:left="4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B89222">
      <w:start w:val="1"/>
      <w:numFmt w:val="bullet"/>
      <w:lvlText w:val="•"/>
      <w:lvlJc w:val="left"/>
      <w:pPr>
        <w:ind w:left="50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AFC8C9C">
      <w:start w:val="1"/>
      <w:numFmt w:val="bullet"/>
      <w:lvlText w:val="o"/>
      <w:lvlJc w:val="left"/>
      <w:pPr>
        <w:ind w:left="5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2B25732">
      <w:start w:val="1"/>
      <w:numFmt w:val="bullet"/>
      <w:lvlText w:val="▪"/>
      <w:lvlJc w:val="left"/>
      <w:pPr>
        <w:ind w:left="6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1A36E1B"/>
    <w:multiLevelType w:val="multilevel"/>
    <w:tmpl w:val="3ACE656A"/>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rPr>
        <w:b/>
        <w:bCs w:val="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54C4AAB"/>
    <w:multiLevelType w:val="hybridMultilevel"/>
    <w:tmpl w:val="917CE2F4"/>
    <w:lvl w:ilvl="0" w:tplc="3D72B374">
      <w:start w:val="1"/>
      <w:numFmt w:val="bullet"/>
      <w:lvlText w:val="-"/>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EEC80138">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4C85256">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4B48866">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1676073C">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E208D97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C44046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7A9FC6">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5848AC6">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4A7A0127"/>
    <w:multiLevelType w:val="hybridMultilevel"/>
    <w:tmpl w:val="B538D91A"/>
    <w:lvl w:ilvl="0" w:tplc="34B6B3E0">
      <w:start w:val="1"/>
      <w:numFmt w:val="bullet"/>
      <w:lvlText w:val="-"/>
      <w:lvlJc w:val="left"/>
      <w:pPr>
        <w:ind w:left="41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1F60076">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A3236BC">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1FF20E6C">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65E9978">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91CB7FA">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F05018">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D302948">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8F09E54">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C6B6429"/>
    <w:multiLevelType w:val="hybridMultilevel"/>
    <w:tmpl w:val="A6E2AAE4"/>
    <w:lvl w:ilvl="0" w:tplc="603659BE">
      <w:start w:val="1"/>
      <w:numFmt w:val="bullet"/>
      <w:lvlText w:val="-"/>
      <w:lvlJc w:val="left"/>
      <w:pPr>
        <w:ind w:left="74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D92926C">
      <w:start w:val="1"/>
      <w:numFmt w:val="bullet"/>
      <w:lvlText w:val="o"/>
      <w:lvlJc w:val="left"/>
      <w:pPr>
        <w:ind w:left="14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AD96D9C2">
      <w:start w:val="1"/>
      <w:numFmt w:val="bullet"/>
      <w:lvlText w:val="▪"/>
      <w:lvlJc w:val="left"/>
      <w:pPr>
        <w:ind w:left="21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79ECF034">
      <w:start w:val="1"/>
      <w:numFmt w:val="bullet"/>
      <w:lvlText w:val="•"/>
      <w:lvlJc w:val="left"/>
      <w:pPr>
        <w:ind w:left="29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2945FCE">
      <w:start w:val="1"/>
      <w:numFmt w:val="bullet"/>
      <w:lvlText w:val="o"/>
      <w:lvlJc w:val="left"/>
      <w:pPr>
        <w:ind w:left="36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60EEE28">
      <w:start w:val="1"/>
      <w:numFmt w:val="bullet"/>
      <w:lvlText w:val="▪"/>
      <w:lvlJc w:val="left"/>
      <w:pPr>
        <w:ind w:left="43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00EA55C6">
      <w:start w:val="1"/>
      <w:numFmt w:val="bullet"/>
      <w:lvlText w:val="•"/>
      <w:lvlJc w:val="left"/>
      <w:pPr>
        <w:ind w:left="50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4204E26">
      <w:start w:val="1"/>
      <w:numFmt w:val="bullet"/>
      <w:lvlText w:val="o"/>
      <w:lvlJc w:val="left"/>
      <w:pPr>
        <w:ind w:left="57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46F3F2">
      <w:start w:val="1"/>
      <w:numFmt w:val="bullet"/>
      <w:lvlText w:val="▪"/>
      <w:lvlJc w:val="left"/>
      <w:pPr>
        <w:ind w:left="6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508A022D"/>
    <w:multiLevelType w:val="multilevel"/>
    <w:tmpl w:val="49CA5EE8"/>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4" w15:restartNumberingAfterBreak="0">
    <w:nsid w:val="53B103F1"/>
    <w:multiLevelType w:val="hybridMultilevel"/>
    <w:tmpl w:val="BC825EC2"/>
    <w:lvl w:ilvl="0" w:tplc="A53EEDF0">
      <w:start w:val="1"/>
      <w:numFmt w:val="bullet"/>
      <w:lvlText w:val="-"/>
      <w:lvlJc w:val="left"/>
      <w:pPr>
        <w:ind w:left="4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84281B2">
      <w:start w:val="1"/>
      <w:numFmt w:val="bullet"/>
      <w:lvlText w:val="o"/>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315E6DAE">
      <w:start w:val="1"/>
      <w:numFmt w:val="bullet"/>
      <w:lvlText w:val="▪"/>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9D06838">
      <w:start w:val="1"/>
      <w:numFmt w:val="bullet"/>
      <w:lvlText w:val="•"/>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93C4B60">
      <w:start w:val="1"/>
      <w:numFmt w:val="bullet"/>
      <w:lvlText w:val="o"/>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168EAB72">
      <w:start w:val="1"/>
      <w:numFmt w:val="bullet"/>
      <w:lvlText w:val="▪"/>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F8653AA">
      <w:start w:val="1"/>
      <w:numFmt w:val="bullet"/>
      <w:lvlText w:val="•"/>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39A260F6">
      <w:start w:val="1"/>
      <w:numFmt w:val="bullet"/>
      <w:lvlText w:val="o"/>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6FC1F1C">
      <w:start w:val="1"/>
      <w:numFmt w:val="bullet"/>
      <w:lvlText w:val="▪"/>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F150476"/>
    <w:multiLevelType w:val="hybridMultilevel"/>
    <w:tmpl w:val="9030F0F8"/>
    <w:lvl w:ilvl="0" w:tplc="EE688AE8">
      <w:start w:val="1"/>
      <w:numFmt w:val="decimal"/>
      <w:lvlText w:val="%1."/>
      <w:lvlJc w:val="left"/>
      <w:pPr>
        <w:ind w:left="527"/>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1" w:tplc="6E483ABA">
      <w:start w:val="1"/>
      <w:numFmt w:val="lowerLetter"/>
      <w:lvlText w:val="%2"/>
      <w:lvlJc w:val="left"/>
      <w:pPr>
        <w:ind w:left="108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2" w:tplc="719A79B4">
      <w:start w:val="1"/>
      <w:numFmt w:val="lowerRoman"/>
      <w:lvlText w:val="%3"/>
      <w:lvlJc w:val="left"/>
      <w:pPr>
        <w:ind w:left="180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3" w:tplc="70669034">
      <w:start w:val="1"/>
      <w:numFmt w:val="decimal"/>
      <w:lvlText w:val="%4"/>
      <w:lvlJc w:val="left"/>
      <w:pPr>
        <w:ind w:left="252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4" w:tplc="83909DBE">
      <w:start w:val="1"/>
      <w:numFmt w:val="lowerLetter"/>
      <w:lvlText w:val="%5"/>
      <w:lvlJc w:val="left"/>
      <w:pPr>
        <w:ind w:left="324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5" w:tplc="E910C73E">
      <w:start w:val="1"/>
      <w:numFmt w:val="lowerRoman"/>
      <w:lvlText w:val="%6"/>
      <w:lvlJc w:val="left"/>
      <w:pPr>
        <w:ind w:left="396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6" w:tplc="3B5A4536">
      <w:start w:val="1"/>
      <w:numFmt w:val="decimal"/>
      <w:lvlText w:val="%7"/>
      <w:lvlJc w:val="left"/>
      <w:pPr>
        <w:ind w:left="468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7" w:tplc="7A1E3B86">
      <w:start w:val="1"/>
      <w:numFmt w:val="lowerLetter"/>
      <w:lvlText w:val="%8"/>
      <w:lvlJc w:val="left"/>
      <w:pPr>
        <w:ind w:left="540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lvl w:ilvl="8" w:tplc="0F601B00">
      <w:start w:val="1"/>
      <w:numFmt w:val="lowerRoman"/>
      <w:lvlText w:val="%9"/>
      <w:lvlJc w:val="left"/>
      <w:pPr>
        <w:ind w:left="6124"/>
      </w:pPr>
      <w:rPr>
        <w:rFonts w:ascii="Verdana" w:eastAsia="Verdana" w:hAnsi="Verdana" w:cs="Verdan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78866D79"/>
    <w:multiLevelType w:val="hybridMultilevel"/>
    <w:tmpl w:val="EF60F49A"/>
    <w:lvl w:ilvl="0" w:tplc="74EA9AE8">
      <w:start w:val="1"/>
      <w:numFmt w:val="bullet"/>
      <w:lvlText w:val="-"/>
      <w:lvlJc w:val="left"/>
      <w:pPr>
        <w:ind w:left="924"/>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A24870E">
      <w:start w:val="1"/>
      <w:numFmt w:val="bullet"/>
      <w:lvlText w:val="o"/>
      <w:lvlJc w:val="left"/>
      <w:pPr>
        <w:ind w:left="17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8E2CC584">
      <w:start w:val="1"/>
      <w:numFmt w:val="bullet"/>
      <w:lvlText w:val="▪"/>
      <w:lvlJc w:val="left"/>
      <w:pPr>
        <w:ind w:left="25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F0BAA7B6">
      <w:start w:val="1"/>
      <w:numFmt w:val="bullet"/>
      <w:lvlText w:val="•"/>
      <w:lvlJc w:val="left"/>
      <w:pPr>
        <w:ind w:left="32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1C49E70">
      <w:start w:val="1"/>
      <w:numFmt w:val="bullet"/>
      <w:lvlText w:val="o"/>
      <w:lvlJc w:val="left"/>
      <w:pPr>
        <w:ind w:left="394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D16CA91E">
      <w:start w:val="1"/>
      <w:numFmt w:val="bullet"/>
      <w:lvlText w:val="▪"/>
      <w:lvlJc w:val="left"/>
      <w:pPr>
        <w:ind w:left="466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88E8B99A">
      <w:start w:val="1"/>
      <w:numFmt w:val="bullet"/>
      <w:lvlText w:val="•"/>
      <w:lvlJc w:val="left"/>
      <w:pPr>
        <w:ind w:left="538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C5B8B11C">
      <w:start w:val="1"/>
      <w:numFmt w:val="bullet"/>
      <w:lvlText w:val="o"/>
      <w:lvlJc w:val="left"/>
      <w:pPr>
        <w:ind w:left="610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C0E8F28">
      <w:start w:val="1"/>
      <w:numFmt w:val="bullet"/>
      <w:lvlText w:val="▪"/>
      <w:lvlJc w:val="left"/>
      <w:pPr>
        <w:ind w:left="6828"/>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7C1C1B59"/>
    <w:multiLevelType w:val="hybridMultilevel"/>
    <w:tmpl w:val="A65A4374"/>
    <w:lvl w:ilvl="0" w:tplc="1D4403CA">
      <w:start w:val="1"/>
      <w:numFmt w:val="bullet"/>
      <w:lvlText w:val="-"/>
      <w:lvlJc w:val="left"/>
      <w:pPr>
        <w:ind w:left="446"/>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AB661778">
      <w:start w:val="1"/>
      <w:numFmt w:val="bullet"/>
      <w:lvlText w:val="o"/>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E0C8AB6">
      <w:start w:val="1"/>
      <w:numFmt w:val="bullet"/>
      <w:lvlText w:val="▪"/>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CD48EE46">
      <w:start w:val="1"/>
      <w:numFmt w:val="bullet"/>
      <w:lvlText w:val="•"/>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99829D78">
      <w:start w:val="1"/>
      <w:numFmt w:val="bullet"/>
      <w:lvlText w:val="o"/>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47478AC">
      <w:start w:val="1"/>
      <w:numFmt w:val="bullet"/>
      <w:lvlText w:val="▪"/>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F8709860">
      <w:start w:val="1"/>
      <w:numFmt w:val="bullet"/>
      <w:lvlText w:val="•"/>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010C81C8">
      <w:start w:val="1"/>
      <w:numFmt w:val="bullet"/>
      <w:lvlText w:val="o"/>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6ED69ACA">
      <w:start w:val="1"/>
      <w:numFmt w:val="bullet"/>
      <w:lvlText w:val="▪"/>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num w:numId="1" w16cid:durableId="1852259116">
    <w:abstractNumId w:val="9"/>
  </w:num>
  <w:num w:numId="2" w16cid:durableId="784344750">
    <w:abstractNumId w:val="6"/>
  </w:num>
  <w:num w:numId="3" w16cid:durableId="959797935">
    <w:abstractNumId w:val="13"/>
  </w:num>
  <w:num w:numId="4" w16cid:durableId="948926840">
    <w:abstractNumId w:val="7"/>
  </w:num>
  <w:num w:numId="5" w16cid:durableId="1670331210">
    <w:abstractNumId w:val="0"/>
  </w:num>
  <w:num w:numId="6" w16cid:durableId="1317801619">
    <w:abstractNumId w:val="1"/>
  </w:num>
  <w:num w:numId="7" w16cid:durableId="1417479523">
    <w:abstractNumId w:val="2"/>
  </w:num>
  <w:num w:numId="8" w16cid:durableId="1164249142">
    <w:abstractNumId w:val="3"/>
  </w:num>
  <w:num w:numId="9" w16cid:durableId="876166734">
    <w:abstractNumId w:val="4"/>
  </w:num>
  <w:num w:numId="10" w16cid:durableId="2113426737">
    <w:abstractNumId w:val="5"/>
  </w:num>
  <w:num w:numId="11" w16cid:durableId="11824277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79864391">
    <w:abstractNumId w:val="16"/>
  </w:num>
  <w:num w:numId="13" w16cid:durableId="1875537485">
    <w:abstractNumId w:val="11"/>
  </w:num>
  <w:num w:numId="14" w16cid:durableId="1024210218">
    <w:abstractNumId w:val="17"/>
  </w:num>
  <w:num w:numId="15" w16cid:durableId="1328941376">
    <w:abstractNumId w:val="12"/>
  </w:num>
  <w:num w:numId="16" w16cid:durableId="236861784">
    <w:abstractNumId w:val="15"/>
  </w:num>
  <w:num w:numId="17" w16cid:durableId="660960541">
    <w:abstractNumId w:val="10"/>
  </w:num>
  <w:num w:numId="18" w16cid:durableId="547570007">
    <w:abstractNumId w:val="14"/>
  </w:num>
  <w:num w:numId="19" w16cid:durableId="19448743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7"/>
    <w:rsid w:val="001C3121"/>
    <w:rsid w:val="00275EBE"/>
    <w:rsid w:val="005C247E"/>
    <w:rsid w:val="00680A86"/>
    <w:rsid w:val="00741474"/>
    <w:rsid w:val="00960A07"/>
    <w:rsid w:val="00983BCE"/>
    <w:rsid w:val="009E7C31"/>
    <w:rsid w:val="00A25077"/>
    <w:rsid w:val="00A3662B"/>
    <w:rsid w:val="00A7409D"/>
    <w:rsid w:val="00B00FC0"/>
    <w:rsid w:val="00B9491C"/>
    <w:rsid w:val="00BE5F1D"/>
    <w:rsid w:val="00C6632E"/>
    <w:rsid w:val="00CF60C2"/>
    <w:rsid w:val="00D27FBF"/>
    <w:rsid w:val="00DC1E07"/>
    <w:rsid w:val="00E27B0A"/>
    <w:rsid w:val="00EA2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F559"/>
  <w15:docId w15:val="{CA591084-06A9-4E3D-B2B8-1716F386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paragraph" w:styleId="Nagwek4">
    <w:name w:val="heading 4"/>
    <w:basedOn w:val="Normalny"/>
    <w:next w:val="Normalny"/>
    <w:link w:val="Nagwek4Znak"/>
    <w:uiPriority w:val="9"/>
    <w:semiHidden/>
    <w:unhideWhenUsed/>
    <w:qFormat/>
    <w:rsid w:val="00CF60C2"/>
    <w:pPr>
      <w:keepNext/>
      <w:keepLines/>
      <w:spacing w:before="40"/>
      <w:outlineLvl w:val="3"/>
    </w:pPr>
    <w:rPr>
      <w:rFonts w:asciiTheme="majorHAnsi" w:eastAsiaTheme="majorEastAsia" w:hAnsiTheme="majorHAnsi" w:cs="Mangal"/>
      <w:i/>
      <w:iCs/>
      <w:color w:val="2F5496" w:themeColor="accent1" w:themeShade="BF"/>
      <w:szCs w:val="21"/>
    </w:rPr>
  </w:style>
  <w:style w:type="paragraph" w:styleId="Nagwek5">
    <w:name w:val="heading 5"/>
    <w:basedOn w:val="Normalny"/>
    <w:next w:val="Normalny"/>
    <w:link w:val="Nagwek5Znak"/>
    <w:uiPriority w:val="9"/>
    <w:semiHidden/>
    <w:unhideWhenUsed/>
    <w:qFormat/>
    <w:rsid w:val="00CF60C2"/>
    <w:pPr>
      <w:keepNext/>
      <w:keepLines/>
      <w:spacing w:before="40"/>
      <w:outlineLvl w:val="4"/>
    </w:pPr>
    <w:rPr>
      <w:rFonts w:asciiTheme="majorHAnsi" w:eastAsiaTheme="majorEastAsia" w:hAnsiTheme="majorHAnsi" w:cs="Mangal"/>
      <w:color w:val="2F5496" w:themeColor="accent1" w:themeShade="BF"/>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character" w:customStyle="1" w:styleId="WW8Num3z0">
    <w:name w:val="WW8Num3z0"/>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4"/>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3"/>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 w:type="numbering" w:customStyle="1" w:styleId="WW8Num3">
    <w:name w:val="WW8Num3"/>
    <w:qFormat/>
  </w:style>
  <w:style w:type="numbering" w:customStyle="1" w:styleId="WW8Num7">
    <w:name w:val="WW8Num7"/>
    <w:qFormat/>
  </w:style>
  <w:style w:type="character" w:customStyle="1" w:styleId="Nagwek4Znak">
    <w:name w:val="Nagłówek 4 Znak"/>
    <w:basedOn w:val="Domylnaczcionkaakapitu"/>
    <w:link w:val="Nagwek4"/>
    <w:uiPriority w:val="9"/>
    <w:semiHidden/>
    <w:rsid w:val="00CF60C2"/>
    <w:rPr>
      <w:rFonts w:asciiTheme="majorHAnsi" w:eastAsiaTheme="majorEastAsia" w:hAnsiTheme="majorHAnsi" w:cs="Mangal"/>
      <w:i/>
      <w:iCs/>
      <w:color w:val="2F5496" w:themeColor="accent1" w:themeShade="BF"/>
      <w:szCs w:val="21"/>
    </w:rPr>
  </w:style>
  <w:style w:type="character" w:customStyle="1" w:styleId="Nagwek5Znak">
    <w:name w:val="Nagłówek 5 Znak"/>
    <w:basedOn w:val="Domylnaczcionkaakapitu"/>
    <w:link w:val="Nagwek5"/>
    <w:uiPriority w:val="9"/>
    <w:semiHidden/>
    <w:rsid w:val="00CF60C2"/>
    <w:rPr>
      <w:rFonts w:asciiTheme="majorHAnsi" w:eastAsiaTheme="majorEastAsia" w:hAnsiTheme="majorHAnsi" w:cs="Mangal"/>
      <w:color w:val="2F5496" w:themeColor="accent1" w:themeShade="B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838</TotalTime>
  <Pages>4</Pages>
  <Words>936</Words>
  <Characters>5620</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104</cp:revision>
  <cp:lastPrinted>2020-09-13T14:31:00Z</cp:lastPrinted>
  <dcterms:created xsi:type="dcterms:W3CDTF">2020-01-08T23:14:00Z</dcterms:created>
  <dcterms:modified xsi:type="dcterms:W3CDTF">2022-12-04T10:57:00Z</dcterms:modified>
  <dc:language>pl-PL</dc:language>
</cp:coreProperties>
</file>